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0E01" w:rsidR="00A21D51" w:rsidP="00456ED8" w:rsidRDefault="00A21D51" w14:paraId="1FC8A6F8" w14:textId="2A64512F">
      <w:pPr>
        <w:pStyle w:val="BodyText"/>
        <w:spacing w:after="120"/>
        <w:rPr>
          <w:i/>
          <w:iCs/>
          <w:sz w:val="18"/>
          <w:szCs w:val="18"/>
          <w:lang w:val="en-CA"/>
        </w:rPr>
      </w:pPr>
      <w:r w:rsidRPr="00D80E01">
        <w:rPr>
          <w:i/>
          <w:iCs/>
          <w:sz w:val="18"/>
          <w:szCs w:val="18"/>
          <w:lang w:val="en-CA"/>
        </w:rPr>
        <w:t>No securities regulatory authority or regulator has assessed the merits of these securities or reviewed this document. Any representation to the contrary is an offence. This offering may not be suitable for you and you should only invest in it if you are willing to risk the loss of your entire investment. In making this investment decision, you should seek the advice of a registered dealer.</w:t>
      </w:r>
    </w:p>
    <w:p w:rsidRPr="00D80E01" w:rsidR="00456ED8" w:rsidP="00456ED8" w:rsidRDefault="00456ED8" w14:paraId="7C2CC4DB" w14:textId="4B7E1A5D">
      <w:pPr>
        <w:pStyle w:val="BodyText"/>
        <w:rPr>
          <w:rFonts w:eastAsiaTheme="minorHAnsi"/>
          <w:i/>
          <w:iCs/>
          <w:sz w:val="18"/>
          <w:szCs w:val="18"/>
          <w:lang w:val="en-CA"/>
        </w:rPr>
      </w:pPr>
      <w:r w:rsidRPr="00D80E01">
        <w:rPr>
          <w:rFonts w:eastAsiaTheme="minorHAnsi"/>
          <w:i/>
          <w:iCs/>
          <w:sz w:val="18"/>
          <w:szCs w:val="18"/>
          <w:lang w:val="en-CA"/>
        </w:rPr>
        <w:t>These securities have not been registered under the United States Securities Act of 1933, as amended (the "U.S. Securities Act"), or any of the securities laws of any state of the United States, and may not be offered or sold within the United States or for the account or benefit of U.S. persons or persons in the United States except pursuant to an exemption from the registration requirements of the U.S. Securities Act and applicable U.S. state securities laws. This Offering Document</w:t>
      </w:r>
      <w:r w:rsidRPr="00D80E01" w:rsidR="00B66783">
        <w:rPr>
          <w:rFonts w:eastAsiaTheme="minorHAnsi"/>
          <w:i/>
          <w:iCs/>
          <w:sz w:val="18"/>
          <w:szCs w:val="18"/>
          <w:lang w:val="en-CA"/>
        </w:rPr>
        <w:t xml:space="preserve"> (as defined herein)</w:t>
      </w:r>
      <w:r w:rsidRPr="00D80E01">
        <w:rPr>
          <w:rFonts w:eastAsiaTheme="minorHAnsi"/>
          <w:i/>
          <w:iCs/>
          <w:sz w:val="18"/>
          <w:szCs w:val="18"/>
          <w:lang w:val="en-CA"/>
        </w:rPr>
        <w:t xml:space="preserve"> does not constitute an offer to sell, or the solicitation of an offer to buy, any of these securities within the United States or to, or for the account or benefit of, U.S. persons or persons in the United States. "United States" and "U.S. person" have the meanings ascribed to them in Regulation S under the U.S. Securities Act.</w:t>
      </w:r>
    </w:p>
    <w:p w:rsidRPr="00D80E01" w:rsidR="00367746" w:rsidP="00367746" w:rsidRDefault="00367746" w14:paraId="6C1B7566" w14:textId="10010DBB">
      <w:pPr>
        <w:pStyle w:val="BodyText"/>
        <w:jc w:val="center"/>
        <w:rPr>
          <w:rFonts w:ascii="Times New Roman Bold" w:hAnsi="Times New Roman Bold" w:eastAsiaTheme="minorHAnsi"/>
          <w:lang w:val="en-CA"/>
        </w:rPr>
      </w:pPr>
      <w:r w:rsidRPr="00D80E01">
        <w:rPr>
          <w:rFonts w:ascii="Times New Roman Bold" w:hAnsi="Times New Roman Bold" w:eastAsiaTheme="minorHAnsi"/>
          <w:lang w:val="en-CA"/>
        </w:rPr>
        <w:t>Offering Document under the Listed Issuer Financing Exemption</w:t>
      </w:r>
    </w:p>
    <w:p w:rsidRPr="00D80E01" w:rsidR="00BC1201" w:rsidP="00367746" w:rsidRDefault="00A21A7D" w14:paraId="6781EA4D" w14:textId="087CB958">
      <w:pPr>
        <w:pStyle w:val="BodyText"/>
        <w:jc w:val="right"/>
        <w:rPr>
          <w:rFonts w:ascii="Times New Roman Bold" w:hAnsi="Times New Roman Bold" w:eastAsiaTheme="minorHAnsi"/>
          <w:lang w:val="en-CA"/>
        </w:rPr>
      </w:pPr>
      <w:r>
        <w:rPr>
          <w:rFonts w:ascii="Times New Roman Bold" w:hAnsi="Times New Roman Bold" w:eastAsiaTheme="minorHAnsi"/>
          <w:lang w:val="en-CA"/>
        </w:rPr>
        <w:t>March 1</w:t>
      </w:r>
      <w:r w:rsidR="00353CB7">
        <w:rPr>
          <w:rFonts w:ascii="Times New Roman Bold" w:hAnsi="Times New Roman Bold" w:eastAsiaTheme="minorHAnsi"/>
          <w:lang w:val="en-CA"/>
        </w:rPr>
        <w:t>2</w:t>
      </w:r>
      <w:r w:rsidRPr="00D80E01" w:rsidR="00367746">
        <w:rPr>
          <w:rFonts w:ascii="Times New Roman Bold" w:hAnsi="Times New Roman Bold" w:eastAsiaTheme="minorHAnsi"/>
          <w:lang w:val="en-CA"/>
        </w:rPr>
        <w:t>, 202</w:t>
      </w:r>
      <w:r w:rsidRPr="00D80E01" w:rsidR="00DB2679">
        <w:rPr>
          <w:rFonts w:ascii="Times New Roman Bold" w:hAnsi="Times New Roman Bold" w:eastAsiaTheme="minorHAnsi"/>
          <w:lang w:val="en-CA"/>
        </w:rPr>
        <w:t>4</w:t>
      </w:r>
    </w:p>
    <w:p w:rsidRPr="00D80E01" w:rsidR="00813861" w:rsidP="00813861" w:rsidRDefault="004076F7" w14:paraId="2CB5D712" w14:textId="692C1BA4">
      <w:pPr>
        <w:pStyle w:val="BodyText"/>
        <w:jc w:val="center"/>
        <w:rPr>
          <w:rFonts w:eastAsiaTheme="minorHAnsi"/>
          <w:bCs/>
          <w:lang w:val="en-CA"/>
        </w:rPr>
      </w:pPr>
      <w:r w:rsidRPr="00D80E01">
        <w:rPr>
          <w:noProof/>
          <w:lang w:val="en-CA" w:eastAsia="en-CA"/>
        </w:rPr>
        <w:drawing>
          <wp:inline distT="0" distB="0" distL="0" distR="0" wp14:anchorId="4A253514" wp14:editId="3064B284">
            <wp:extent cx="2367173" cy="785700"/>
            <wp:effectExtent l="0" t="0" r="0" b="0"/>
            <wp:docPr id="1826288223" name="Picture 1826288223" descr="" title="">
              <a:extLst xmlns:a="http://schemas.openxmlformats.org/drawingml/2006/main">
                <a:ext uri="{FF2B5EF4-FFF2-40B4-BE49-F238E27FC236}">
                  <a16:creationId xmlns:a16="http://schemas.microsoft.com/office/drawing/2014/main" id="{B81DC2EF-64D8-EDD1-B45B-E99924001C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88223" name="Picture 1826288223" descr="A grey rectangular sign with white text&#10;&#10;Description automatically generated">
                      <a:extLst>
                        <a:ext uri="{FF2B5EF4-FFF2-40B4-BE49-F238E27FC236}">
                          <a16:creationId xmlns:a16="http://schemas.microsoft.com/office/drawing/2014/main" id="{B81DC2EF-64D8-EDD1-B45B-E99924001C2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2558" b="34250"/>
                    <a:stretch/>
                  </pic:blipFill>
                  <pic:spPr>
                    <a:xfrm>
                      <a:off x="0" y="0"/>
                      <a:ext cx="2434708" cy="808116"/>
                    </a:xfrm>
                    <a:prstGeom prst="rect">
                      <a:avLst/>
                    </a:prstGeom>
                  </pic:spPr>
                </pic:pic>
              </a:graphicData>
            </a:graphic>
          </wp:inline>
        </w:drawing>
      </w:r>
    </w:p>
    <w:p w:rsidRPr="00D80E01" w:rsidR="006058F0" w:rsidP="00813861" w:rsidRDefault="004530BF" w14:paraId="02DA0C8B" w14:textId="7C3099D7">
      <w:pPr>
        <w:pStyle w:val="BodyText"/>
        <w:jc w:val="center"/>
        <w:rPr>
          <w:rFonts w:eastAsiaTheme="minorHAnsi"/>
          <w:b/>
          <w:lang w:val="en-CA"/>
        </w:rPr>
      </w:pPr>
      <w:r w:rsidRPr="00D80E01">
        <w:rPr>
          <w:rFonts w:eastAsiaTheme="minorHAnsi"/>
          <w:b/>
          <w:lang w:val="en-CA"/>
        </w:rPr>
        <w:t>INDIVA LIMITED</w:t>
      </w:r>
      <w:r w:rsidRPr="00D80E01" w:rsidR="00813861">
        <w:rPr>
          <w:rFonts w:eastAsiaTheme="minorHAnsi"/>
          <w:b/>
          <w:lang w:val="en-CA"/>
        </w:rPr>
        <w:br/>
      </w:r>
      <w:r w:rsidRPr="00D80E01" w:rsidR="00813861">
        <w:rPr>
          <w:rFonts w:eastAsiaTheme="minorHAnsi"/>
          <w:bCs/>
          <w:lang w:val="en-CA"/>
        </w:rPr>
        <w:t xml:space="preserve">(the </w:t>
      </w:r>
      <w:r w:rsidRPr="00D80E01" w:rsidR="009A4F85">
        <w:rPr>
          <w:rFonts w:eastAsiaTheme="minorHAnsi"/>
          <w:bCs/>
          <w:lang w:val="en-CA"/>
        </w:rPr>
        <w:t>"</w:t>
      </w:r>
      <w:r w:rsidRPr="00D80E01" w:rsidR="00813861">
        <w:rPr>
          <w:rFonts w:eastAsiaTheme="minorHAnsi"/>
          <w:b/>
          <w:lang w:val="en-CA"/>
        </w:rPr>
        <w:t>Company</w:t>
      </w:r>
      <w:r w:rsidRPr="00D80E01" w:rsidR="009A4F85">
        <w:rPr>
          <w:rFonts w:eastAsiaTheme="minorHAnsi"/>
          <w:bCs/>
          <w:lang w:val="en-CA"/>
        </w:rPr>
        <w:t>"</w:t>
      </w:r>
      <w:r w:rsidRPr="00D80E01" w:rsidR="00813861">
        <w:rPr>
          <w:rFonts w:eastAsiaTheme="minorHAnsi"/>
          <w:bCs/>
          <w:lang w:val="en-CA"/>
        </w:rPr>
        <w:t>)</w:t>
      </w:r>
    </w:p>
    <w:p w:rsidRPr="00D80E01" w:rsidR="00F57592" w:rsidP="00F57592" w:rsidRDefault="005B30A4" w14:paraId="0FB07DD7" w14:textId="6D725FAE">
      <w:pPr>
        <w:pStyle w:val="StandardL1"/>
        <w:rPr>
          <w:rFonts w:eastAsiaTheme="minorHAnsi"/>
          <w:lang w:val="en-CA"/>
        </w:rPr>
      </w:pPr>
      <w:r w:rsidRPr="00D80E01">
        <w:rPr>
          <w:rFonts w:eastAsiaTheme="minorHAnsi"/>
          <w:lang w:val="en-CA"/>
        </w:rPr>
        <w:t>SUMMARY OF OFFERING</w:t>
      </w:r>
    </w:p>
    <w:p w:rsidRPr="00D80E01" w:rsidR="000D11A4" w:rsidP="00E71A6C" w:rsidRDefault="00E71A6C" w14:paraId="65C4E4F6" w14:textId="7DAE2E54">
      <w:pPr>
        <w:pStyle w:val="StandardL2"/>
        <w:rPr>
          <w:lang w:val="en-CA"/>
        </w:rPr>
      </w:pPr>
      <w:r w:rsidRPr="00D80E01">
        <w:rPr>
          <w:lang w:val="en-CA"/>
        </w:rPr>
        <w:t>What are we offering?</w:t>
      </w:r>
    </w:p>
    <w:tbl>
      <w:tblPr>
        <w:tblStyle w:val="TableGrid"/>
        <w:tblW w:w="0" w:type="auto"/>
        <w:jc w:val="center"/>
        <w:tblBorders>
          <w:left w:val="none" w:color="auto" w:sz="0" w:space="0"/>
          <w:right w:val="none" w:color="auto" w:sz="0" w:space="0"/>
          <w:insideV w:val="none" w:color="auto" w:sz="0" w:space="0"/>
        </w:tblBorders>
        <w:tblLook w:val="04A0" w:firstRow="1" w:lastRow="0" w:firstColumn="1" w:lastColumn="0" w:noHBand="0" w:noVBand="1"/>
      </w:tblPr>
      <w:tblGrid>
        <w:gridCol w:w="2065"/>
        <w:gridCol w:w="7285"/>
      </w:tblGrid>
      <w:tr w:rsidRPr="00D80E01" w:rsidR="009271CC" w:rsidTr="00E168DE" w14:paraId="287E3731" w14:textId="77777777">
        <w:trPr>
          <w:cantSplit/>
          <w:jc w:val="center"/>
        </w:trPr>
        <w:tc>
          <w:tcPr>
            <w:tcW w:w="2065" w:type="dxa"/>
            <w:vAlign w:val="center"/>
          </w:tcPr>
          <w:p w:rsidRPr="00D80E01" w:rsidR="009271CC" w:rsidP="00214FCC" w:rsidRDefault="009271CC" w14:paraId="498B0579" w14:textId="168EFF50">
            <w:pPr>
              <w:pStyle w:val="BodyText"/>
              <w:spacing w:before="120" w:after="120"/>
              <w:jc w:val="center"/>
              <w:rPr>
                <w:rFonts w:eastAsiaTheme="minorHAnsi"/>
                <w:b/>
                <w:lang w:val="en-CA"/>
              </w:rPr>
            </w:pPr>
            <w:r w:rsidRPr="00D80E01">
              <w:rPr>
                <w:rFonts w:eastAsiaTheme="minorHAnsi"/>
                <w:b/>
                <w:lang w:val="en-CA"/>
              </w:rPr>
              <w:t>Offering:</w:t>
            </w:r>
          </w:p>
        </w:tc>
        <w:tc>
          <w:tcPr>
            <w:tcW w:w="7285" w:type="dxa"/>
            <w:vAlign w:val="center"/>
          </w:tcPr>
          <w:p w:rsidRPr="00D80E01" w:rsidR="006B2915" w:rsidP="00214FCC" w:rsidRDefault="00CB466D" w14:paraId="755DBF3B" w14:textId="5CB230DC">
            <w:pPr>
              <w:pStyle w:val="BodyText"/>
              <w:spacing w:before="120" w:after="120"/>
              <w:rPr>
                <w:rFonts w:eastAsiaTheme="minorHAnsi"/>
                <w:b/>
                <w:lang w:val="en-CA"/>
              </w:rPr>
            </w:pPr>
            <w:r w:rsidRPr="00D80E01">
              <w:rPr>
                <w:rFonts w:eastAsiaTheme="minorHAnsi"/>
                <w:bCs/>
                <w:lang w:val="en-CA"/>
              </w:rPr>
              <w:t xml:space="preserve">Units </w:t>
            </w:r>
            <w:r w:rsidRPr="00D80E01" w:rsidR="008B1BF6">
              <w:rPr>
                <w:rFonts w:eastAsiaTheme="minorHAnsi"/>
                <w:bCs/>
                <w:lang w:val="en-CA"/>
              </w:rPr>
              <w:t>of the Company (each, a "</w:t>
            </w:r>
            <w:r w:rsidRPr="00D80E01" w:rsidR="008B1BF6">
              <w:rPr>
                <w:rFonts w:eastAsiaTheme="minorHAnsi"/>
                <w:b/>
                <w:lang w:val="en-CA"/>
              </w:rPr>
              <w:t>Unit</w:t>
            </w:r>
            <w:r w:rsidRPr="00D80E01" w:rsidR="008B1BF6">
              <w:rPr>
                <w:rFonts w:eastAsiaTheme="minorHAnsi"/>
                <w:bCs/>
                <w:lang w:val="en-CA"/>
              </w:rPr>
              <w:t xml:space="preserve">"), comprised of </w:t>
            </w:r>
            <w:r w:rsidRPr="00D80E01">
              <w:rPr>
                <w:rFonts w:eastAsiaTheme="minorHAnsi"/>
                <w:bCs/>
                <w:lang w:val="en-CA"/>
              </w:rPr>
              <w:t xml:space="preserve">one common share in the capital of the Company (each, a </w:t>
            </w:r>
            <w:r w:rsidRPr="00D80E01" w:rsidR="009A4F85">
              <w:rPr>
                <w:rFonts w:eastAsiaTheme="minorHAnsi"/>
                <w:bCs/>
                <w:lang w:val="en-CA"/>
              </w:rPr>
              <w:t>"</w:t>
            </w:r>
            <w:r w:rsidRPr="00D80E01">
              <w:rPr>
                <w:rFonts w:eastAsiaTheme="minorHAnsi"/>
                <w:b/>
                <w:lang w:val="en-CA"/>
              </w:rPr>
              <w:t>Common Share</w:t>
            </w:r>
            <w:r w:rsidRPr="00D80E01" w:rsidR="009A4F85">
              <w:rPr>
                <w:rFonts w:eastAsiaTheme="minorHAnsi"/>
                <w:bCs/>
                <w:lang w:val="en-CA"/>
              </w:rPr>
              <w:t>"</w:t>
            </w:r>
            <w:r w:rsidRPr="00D80E01">
              <w:rPr>
                <w:rFonts w:eastAsiaTheme="minorHAnsi"/>
                <w:bCs/>
                <w:lang w:val="en-CA"/>
              </w:rPr>
              <w:t xml:space="preserve">) and </w:t>
            </w:r>
            <w:r w:rsidRPr="00D80E01" w:rsidR="00CB6A8C">
              <w:rPr>
                <w:rFonts w:eastAsiaTheme="minorHAnsi"/>
                <w:bCs/>
                <w:lang w:val="en-CA"/>
              </w:rPr>
              <w:t>one-half</w:t>
            </w:r>
            <w:r w:rsidRPr="00D80E01">
              <w:rPr>
                <w:rFonts w:eastAsiaTheme="minorHAnsi"/>
                <w:bCs/>
                <w:lang w:val="en-CA"/>
              </w:rPr>
              <w:t xml:space="preserve"> Common Share purchase warrant (each</w:t>
            </w:r>
            <w:r w:rsidRPr="00D80E01" w:rsidR="00CB6A8C">
              <w:rPr>
                <w:rFonts w:eastAsiaTheme="minorHAnsi"/>
                <w:bCs/>
                <w:lang w:val="en-CA"/>
              </w:rPr>
              <w:t xml:space="preserve"> whole warrant</w:t>
            </w:r>
            <w:r w:rsidRPr="00D80E01">
              <w:rPr>
                <w:rFonts w:eastAsiaTheme="minorHAnsi"/>
                <w:bCs/>
                <w:lang w:val="en-CA"/>
              </w:rPr>
              <w:t xml:space="preserve">, a </w:t>
            </w:r>
            <w:r w:rsidRPr="00D80E01" w:rsidR="009A4F85">
              <w:rPr>
                <w:rFonts w:eastAsiaTheme="minorHAnsi"/>
                <w:bCs/>
                <w:lang w:val="en-CA"/>
              </w:rPr>
              <w:t>"</w:t>
            </w:r>
            <w:r w:rsidRPr="00D80E01">
              <w:rPr>
                <w:rFonts w:eastAsiaTheme="minorHAnsi"/>
                <w:b/>
                <w:lang w:val="en-CA"/>
              </w:rPr>
              <w:t>Warrant</w:t>
            </w:r>
            <w:r w:rsidRPr="00D80E01" w:rsidR="009A4F85">
              <w:rPr>
                <w:rFonts w:eastAsiaTheme="minorHAnsi"/>
                <w:bCs/>
                <w:lang w:val="en-CA"/>
              </w:rPr>
              <w:t>"</w:t>
            </w:r>
            <w:r w:rsidRPr="00D80E01">
              <w:rPr>
                <w:rFonts w:eastAsiaTheme="minorHAnsi"/>
                <w:bCs/>
                <w:lang w:val="en-CA"/>
              </w:rPr>
              <w:t>). Each Warrant is exercisable into one Common Share at a price of $</w:t>
            </w:r>
            <w:r w:rsidRPr="00D80E01" w:rsidR="00704352">
              <w:rPr>
                <w:lang w:val="en-CA"/>
              </w:rPr>
              <w:t>0.15</w:t>
            </w:r>
            <w:r w:rsidRPr="00D80E01">
              <w:rPr>
                <w:rFonts w:eastAsiaTheme="minorHAnsi"/>
                <w:bCs/>
                <w:lang w:val="en-CA"/>
              </w:rPr>
              <w:t xml:space="preserve"> per </w:t>
            </w:r>
            <w:r w:rsidRPr="00D80E01" w:rsidR="0065515F">
              <w:rPr>
                <w:rFonts w:eastAsiaTheme="minorHAnsi"/>
                <w:bCs/>
                <w:lang w:val="en-CA"/>
              </w:rPr>
              <w:t>Common</w:t>
            </w:r>
            <w:r w:rsidRPr="00D80E01">
              <w:rPr>
                <w:rFonts w:eastAsiaTheme="minorHAnsi"/>
                <w:bCs/>
                <w:lang w:val="en-CA"/>
              </w:rPr>
              <w:t xml:space="preserve"> Share for a period of </w:t>
            </w:r>
            <w:r w:rsidRPr="00D80E01" w:rsidR="00704352">
              <w:rPr>
                <w:lang w:val="en-CA"/>
              </w:rPr>
              <w:t>36</w:t>
            </w:r>
            <w:r w:rsidRPr="00D80E01">
              <w:rPr>
                <w:rFonts w:eastAsiaTheme="minorHAnsi"/>
                <w:bCs/>
                <w:lang w:val="en-CA"/>
              </w:rPr>
              <w:t xml:space="preserve"> months </w:t>
            </w:r>
            <w:r w:rsidRPr="00D80E01" w:rsidR="002A2217">
              <w:rPr>
                <w:rFonts w:eastAsiaTheme="minorHAnsi"/>
                <w:bCs/>
                <w:lang w:val="en-CA"/>
              </w:rPr>
              <w:t>from the date of issuance.</w:t>
            </w:r>
          </w:p>
        </w:tc>
      </w:tr>
      <w:tr w:rsidRPr="00D80E01" w:rsidR="00DE09B1" w:rsidTr="00E168DE" w14:paraId="0D5CB95A" w14:textId="77777777">
        <w:trPr>
          <w:cantSplit/>
          <w:jc w:val="center"/>
        </w:trPr>
        <w:tc>
          <w:tcPr>
            <w:tcW w:w="2065" w:type="dxa"/>
            <w:vAlign w:val="center"/>
          </w:tcPr>
          <w:p w:rsidRPr="00D80E01" w:rsidR="00DE09B1" w:rsidP="00214FCC" w:rsidRDefault="00DE09B1" w14:paraId="0D1816EA" w14:textId="6210C88E">
            <w:pPr>
              <w:pStyle w:val="BodyText"/>
              <w:spacing w:before="120" w:after="120"/>
              <w:jc w:val="center"/>
              <w:rPr>
                <w:rFonts w:eastAsiaTheme="minorHAnsi"/>
                <w:bCs/>
                <w:lang w:val="en-CA"/>
              </w:rPr>
            </w:pPr>
            <w:r w:rsidRPr="00D80E01">
              <w:rPr>
                <w:rFonts w:eastAsiaTheme="minorHAnsi"/>
                <w:b/>
                <w:lang w:val="en-CA"/>
              </w:rPr>
              <w:t>Offering Price:</w:t>
            </w:r>
          </w:p>
        </w:tc>
        <w:tc>
          <w:tcPr>
            <w:tcW w:w="7285" w:type="dxa"/>
            <w:vAlign w:val="center"/>
          </w:tcPr>
          <w:p w:rsidRPr="00D80E01" w:rsidR="00DE09B1" w:rsidP="00214FCC" w:rsidRDefault="00DE09B1" w14:paraId="7033C6C0" w14:textId="430D322A">
            <w:pPr>
              <w:pStyle w:val="BodyText"/>
              <w:spacing w:before="120" w:after="120"/>
              <w:rPr>
                <w:rFonts w:eastAsiaTheme="minorHAnsi"/>
                <w:bCs/>
                <w:lang w:val="en-CA"/>
              </w:rPr>
            </w:pPr>
            <w:r w:rsidRPr="00D80E01">
              <w:rPr>
                <w:lang w:val="en-CA"/>
              </w:rPr>
              <w:t>$</w:t>
            </w:r>
            <w:r w:rsidRPr="00D80E01" w:rsidR="008B752F">
              <w:rPr>
                <w:lang w:val="en-CA"/>
              </w:rPr>
              <w:t>0.10</w:t>
            </w:r>
            <w:r w:rsidRPr="00D80E01">
              <w:rPr>
                <w:rFonts w:eastAsiaTheme="minorHAnsi"/>
                <w:bCs/>
                <w:lang w:val="en-CA"/>
              </w:rPr>
              <w:t xml:space="preserve"> per </w:t>
            </w:r>
            <w:r w:rsidRPr="00D80E01" w:rsidR="00CA3DA2">
              <w:rPr>
                <w:rFonts w:eastAsiaTheme="minorHAnsi"/>
                <w:bCs/>
                <w:lang w:val="en-CA"/>
              </w:rPr>
              <w:t>U</w:t>
            </w:r>
            <w:r w:rsidRPr="00D80E01">
              <w:rPr>
                <w:rFonts w:eastAsiaTheme="minorHAnsi"/>
                <w:bCs/>
                <w:lang w:val="en-CA"/>
              </w:rPr>
              <w:t>nit</w:t>
            </w:r>
            <w:r w:rsidRPr="00D80E01" w:rsidR="00BC0085">
              <w:rPr>
                <w:rFonts w:eastAsiaTheme="minorHAnsi"/>
                <w:bCs/>
                <w:lang w:val="en-CA"/>
              </w:rPr>
              <w:t>.</w:t>
            </w:r>
          </w:p>
        </w:tc>
      </w:tr>
      <w:tr w:rsidRPr="00D80E01" w:rsidR="00DE09B1" w:rsidTr="00E168DE" w14:paraId="236C57DC" w14:textId="77777777">
        <w:trPr>
          <w:cantSplit/>
          <w:jc w:val="center"/>
        </w:trPr>
        <w:tc>
          <w:tcPr>
            <w:tcW w:w="2065" w:type="dxa"/>
            <w:vAlign w:val="center"/>
          </w:tcPr>
          <w:p w:rsidRPr="00D80E01" w:rsidR="00DE09B1" w:rsidP="00214FCC" w:rsidRDefault="00DE09B1" w14:paraId="393F6014" w14:textId="4631F1EB">
            <w:pPr>
              <w:pStyle w:val="BodyText"/>
              <w:spacing w:before="120" w:after="120"/>
              <w:jc w:val="center"/>
              <w:rPr>
                <w:rFonts w:eastAsiaTheme="minorHAnsi"/>
                <w:bCs/>
                <w:lang w:val="en-CA"/>
              </w:rPr>
            </w:pPr>
            <w:r w:rsidRPr="00D80E01">
              <w:rPr>
                <w:rFonts w:eastAsiaTheme="minorHAnsi"/>
                <w:b/>
                <w:lang w:val="en-CA"/>
              </w:rPr>
              <w:t>Offering Amount:</w:t>
            </w:r>
          </w:p>
        </w:tc>
        <w:tc>
          <w:tcPr>
            <w:tcW w:w="7285" w:type="dxa"/>
            <w:vAlign w:val="center"/>
          </w:tcPr>
          <w:p w:rsidRPr="00D80E01" w:rsidR="00DE09B1" w:rsidP="00214FCC" w:rsidRDefault="00353CB7" w14:paraId="4F55A373" w14:textId="68A08CD6">
            <w:pPr>
              <w:pStyle w:val="BodyText"/>
              <w:spacing w:before="120" w:after="120"/>
              <w:rPr>
                <w:rFonts w:eastAsiaTheme="minorHAnsi"/>
                <w:bCs/>
                <w:lang w:val="en-CA"/>
              </w:rPr>
            </w:pPr>
            <w:r>
              <w:rPr>
                <w:rFonts w:eastAsiaTheme="minorHAnsi"/>
                <w:bCs/>
                <w:lang w:val="en-CA"/>
              </w:rPr>
              <w:t xml:space="preserve">A minimum of 10,940,000 Units and a maximum of </w:t>
            </w:r>
            <w:r w:rsidRPr="00D80E01" w:rsidR="004216DA">
              <w:rPr>
                <w:bCs/>
                <w:lang w:val="en-CA"/>
              </w:rPr>
              <w:t>40,</w:t>
            </w:r>
            <w:r w:rsidR="00A21A7D">
              <w:rPr>
                <w:bCs/>
                <w:lang w:val="en-CA"/>
              </w:rPr>
              <w:t>94</w:t>
            </w:r>
            <w:r w:rsidRPr="00D80E01" w:rsidR="004216DA">
              <w:rPr>
                <w:bCs/>
                <w:lang w:val="en-CA"/>
              </w:rPr>
              <w:t>0,000</w:t>
            </w:r>
            <w:r w:rsidRPr="00D80E01" w:rsidR="00AC06FF">
              <w:rPr>
                <w:bCs/>
                <w:lang w:val="en-CA"/>
              </w:rPr>
              <w:t xml:space="preserve"> </w:t>
            </w:r>
            <w:r w:rsidRPr="00D80E01" w:rsidR="00DD3AE3">
              <w:rPr>
                <w:rFonts w:eastAsiaTheme="minorHAnsi"/>
                <w:bCs/>
                <w:lang w:val="en-CA"/>
              </w:rPr>
              <w:t xml:space="preserve">Units, for </w:t>
            </w:r>
            <w:r>
              <w:rPr>
                <w:rFonts w:eastAsiaTheme="minorHAnsi"/>
                <w:bCs/>
                <w:lang w:val="en-CA"/>
              </w:rPr>
              <w:t xml:space="preserve">minimum </w:t>
            </w:r>
            <w:r w:rsidRPr="00D80E01" w:rsidR="00663A78">
              <w:rPr>
                <w:rFonts w:eastAsiaTheme="minorHAnsi"/>
                <w:bCs/>
                <w:lang w:val="en-CA"/>
              </w:rPr>
              <w:t xml:space="preserve">gross </w:t>
            </w:r>
            <w:r w:rsidRPr="00D80E01" w:rsidR="00DD3AE3">
              <w:rPr>
                <w:rFonts w:eastAsiaTheme="minorHAnsi"/>
                <w:bCs/>
                <w:lang w:val="en-CA"/>
              </w:rPr>
              <w:t xml:space="preserve">proceeds </w:t>
            </w:r>
            <w:r w:rsidRPr="00D80E01" w:rsidR="00663A78">
              <w:rPr>
                <w:rFonts w:eastAsiaTheme="minorHAnsi"/>
                <w:bCs/>
                <w:lang w:val="en-CA"/>
              </w:rPr>
              <w:t xml:space="preserve">to the Company </w:t>
            </w:r>
            <w:r w:rsidRPr="00D80E01" w:rsidR="00DD3AE3">
              <w:rPr>
                <w:rFonts w:eastAsiaTheme="minorHAnsi"/>
                <w:bCs/>
                <w:lang w:val="en-CA"/>
              </w:rPr>
              <w:t xml:space="preserve">of </w:t>
            </w:r>
            <w:r>
              <w:rPr>
                <w:rFonts w:eastAsiaTheme="minorHAnsi"/>
                <w:bCs/>
                <w:lang w:val="en-CA"/>
              </w:rPr>
              <w:t xml:space="preserve">$1,094,000 and maximum gross proceeds </w:t>
            </w:r>
            <w:r w:rsidRPr="00D80E01" w:rsidR="00663A78">
              <w:rPr>
                <w:rFonts w:eastAsiaTheme="minorHAnsi"/>
                <w:bCs/>
                <w:lang w:val="en-CA"/>
              </w:rPr>
              <w:t xml:space="preserve">up to </w:t>
            </w:r>
            <w:r w:rsidRPr="00D80E01" w:rsidR="00DD3AE3">
              <w:rPr>
                <w:rFonts w:eastAsiaTheme="minorHAnsi"/>
                <w:bCs/>
                <w:lang w:val="en-CA"/>
              </w:rPr>
              <w:t>$</w:t>
            </w:r>
            <w:r w:rsidRPr="00D80E01" w:rsidR="004216DA">
              <w:rPr>
                <w:bCs/>
                <w:lang w:val="en-CA"/>
              </w:rPr>
              <w:t>4,0</w:t>
            </w:r>
            <w:r w:rsidR="00A21A7D">
              <w:rPr>
                <w:bCs/>
                <w:lang w:val="en-CA"/>
              </w:rPr>
              <w:t>94</w:t>
            </w:r>
            <w:r w:rsidRPr="00D80E01" w:rsidR="004216DA">
              <w:rPr>
                <w:bCs/>
                <w:lang w:val="en-CA"/>
              </w:rPr>
              <w:t>,000</w:t>
            </w:r>
            <w:r w:rsidRPr="00D80E01" w:rsidR="008B752F">
              <w:rPr>
                <w:b/>
                <w:lang w:val="en-CA"/>
              </w:rPr>
              <w:t xml:space="preserve"> </w:t>
            </w:r>
            <w:r w:rsidRPr="00D80E01" w:rsidR="00DD3AE3">
              <w:rPr>
                <w:rFonts w:eastAsiaTheme="minorHAnsi"/>
                <w:bCs/>
                <w:lang w:val="en-CA"/>
              </w:rPr>
              <w:t xml:space="preserve">(the </w:t>
            </w:r>
            <w:r w:rsidRPr="00D80E01" w:rsidR="009A4F85">
              <w:rPr>
                <w:rFonts w:eastAsiaTheme="minorHAnsi"/>
                <w:bCs/>
                <w:lang w:val="en-CA"/>
              </w:rPr>
              <w:t>"</w:t>
            </w:r>
            <w:r w:rsidRPr="00D80E01" w:rsidR="00DD3AE3">
              <w:rPr>
                <w:rFonts w:eastAsiaTheme="minorHAnsi"/>
                <w:b/>
                <w:lang w:val="en-CA"/>
              </w:rPr>
              <w:t>Offering</w:t>
            </w:r>
            <w:r w:rsidRPr="00D80E01" w:rsidR="009A4F85">
              <w:rPr>
                <w:rFonts w:eastAsiaTheme="minorHAnsi"/>
                <w:bCs/>
                <w:lang w:val="en-CA"/>
              </w:rPr>
              <w:t>"</w:t>
            </w:r>
            <w:r w:rsidRPr="00D80E01" w:rsidR="00DD3AE3">
              <w:rPr>
                <w:rFonts w:eastAsiaTheme="minorHAnsi"/>
                <w:bCs/>
                <w:lang w:val="en-CA"/>
              </w:rPr>
              <w:t>)</w:t>
            </w:r>
            <w:r w:rsidRPr="00D80E01" w:rsidR="00BC0085">
              <w:rPr>
                <w:rFonts w:eastAsiaTheme="minorHAnsi"/>
                <w:bCs/>
                <w:lang w:val="en-CA"/>
              </w:rPr>
              <w:t>.</w:t>
            </w:r>
          </w:p>
        </w:tc>
      </w:tr>
      <w:tr w:rsidRPr="00D80E01" w:rsidR="00DE09B1" w:rsidTr="00E168DE" w14:paraId="2017291A" w14:textId="77777777">
        <w:trPr>
          <w:cantSplit/>
          <w:jc w:val="center"/>
        </w:trPr>
        <w:tc>
          <w:tcPr>
            <w:tcW w:w="2065" w:type="dxa"/>
            <w:vAlign w:val="center"/>
          </w:tcPr>
          <w:p w:rsidRPr="00D80E01" w:rsidR="00DE09B1" w:rsidP="00214FCC" w:rsidRDefault="00DE09B1" w14:paraId="0E7347AD" w14:textId="16BE6511">
            <w:pPr>
              <w:pStyle w:val="BodyText"/>
              <w:spacing w:before="120" w:after="120"/>
              <w:jc w:val="center"/>
              <w:rPr>
                <w:rFonts w:eastAsiaTheme="minorHAnsi"/>
                <w:bCs/>
                <w:lang w:val="en-CA"/>
              </w:rPr>
            </w:pPr>
            <w:r w:rsidRPr="00D80E01">
              <w:rPr>
                <w:rFonts w:eastAsiaTheme="minorHAnsi"/>
                <w:b/>
                <w:lang w:val="en-CA"/>
              </w:rPr>
              <w:t>Closing Date:</w:t>
            </w:r>
          </w:p>
        </w:tc>
        <w:tc>
          <w:tcPr>
            <w:tcW w:w="7285" w:type="dxa"/>
            <w:vAlign w:val="center"/>
          </w:tcPr>
          <w:p w:rsidRPr="00D80E01" w:rsidR="00DE09B1" w:rsidP="00214FCC" w:rsidRDefault="0034581F" w14:paraId="77916686" w14:textId="24B3C466">
            <w:pPr>
              <w:pStyle w:val="BodyText"/>
              <w:spacing w:before="120" w:after="120"/>
              <w:rPr>
                <w:rFonts w:eastAsiaTheme="minorHAnsi"/>
                <w:bCs/>
                <w:lang w:val="en-CA"/>
              </w:rPr>
            </w:pPr>
            <w:r w:rsidRPr="00D80E01">
              <w:rPr>
                <w:rFonts w:eastAsiaTheme="minorHAnsi"/>
                <w:bCs/>
                <w:lang w:val="en-CA"/>
              </w:rPr>
              <w:t>The closing of the Offering may take place in one or more tranches, provided that the final tranche</w:t>
            </w:r>
            <w:r w:rsidRPr="00D80E01" w:rsidR="005A4DD1">
              <w:rPr>
                <w:rFonts w:eastAsiaTheme="minorHAnsi"/>
                <w:bCs/>
                <w:lang w:val="en-CA"/>
              </w:rPr>
              <w:t xml:space="preserve"> closing</w:t>
            </w:r>
            <w:r w:rsidRPr="00D80E01">
              <w:rPr>
                <w:rFonts w:eastAsiaTheme="minorHAnsi"/>
                <w:bCs/>
                <w:lang w:val="en-CA"/>
              </w:rPr>
              <w:t xml:space="preserve"> will occur no later than </w:t>
            </w:r>
            <w:r w:rsidR="00A21A7D">
              <w:rPr>
                <w:bCs/>
                <w:lang w:val="en-CA"/>
              </w:rPr>
              <w:t>April 2</w:t>
            </w:r>
            <w:r w:rsidR="008003DD">
              <w:rPr>
                <w:bCs/>
                <w:lang w:val="en-CA"/>
              </w:rPr>
              <w:t>6</w:t>
            </w:r>
            <w:r w:rsidRPr="00D80E01">
              <w:rPr>
                <w:bCs/>
                <w:lang w:val="en-CA"/>
              </w:rPr>
              <w:t>, 2024</w:t>
            </w:r>
            <w:r w:rsidR="00A21A7D">
              <w:rPr>
                <w:bCs/>
                <w:lang w:val="en-CA"/>
              </w:rPr>
              <w:t xml:space="preserve">, </w:t>
            </w:r>
            <w:r w:rsidRPr="00A21A7D" w:rsidR="00A21A7D">
              <w:rPr>
                <w:bCs/>
                <w:lang w:val="en-CA"/>
              </w:rPr>
              <w:t>being 45 days following the date hereof</w:t>
            </w:r>
            <w:r w:rsidRPr="00D80E01" w:rsidR="001F0195">
              <w:rPr>
                <w:bCs/>
                <w:lang w:val="en-CA"/>
              </w:rPr>
              <w:t>.</w:t>
            </w:r>
          </w:p>
        </w:tc>
      </w:tr>
      <w:tr w:rsidRPr="00D80E01" w:rsidR="00DE09B1" w:rsidTr="00E168DE" w14:paraId="50724EA0" w14:textId="77777777">
        <w:trPr>
          <w:cantSplit/>
          <w:jc w:val="center"/>
        </w:trPr>
        <w:tc>
          <w:tcPr>
            <w:tcW w:w="2065" w:type="dxa"/>
            <w:vAlign w:val="center"/>
          </w:tcPr>
          <w:p w:rsidRPr="00D80E01" w:rsidR="00DE09B1" w:rsidP="00214FCC" w:rsidRDefault="00DE09B1" w14:paraId="33909F31" w14:textId="152B1AE9">
            <w:pPr>
              <w:pStyle w:val="BodyText"/>
              <w:spacing w:before="120" w:after="120"/>
              <w:jc w:val="center"/>
              <w:rPr>
                <w:rFonts w:eastAsiaTheme="minorHAnsi"/>
                <w:bCs/>
                <w:lang w:val="en-CA"/>
              </w:rPr>
            </w:pPr>
            <w:r w:rsidRPr="00D80E01">
              <w:rPr>
                <w:rFonts w:eastAsiaTheme="minorHAnsi"/>
                <w:b/>
                <w:lang w:val="en-CA"/>
              </w:rPr>
              <w:t>Exchange:</w:t>
            </w:r>
          </w:p>
        </w:tc>
        <w:tc>
          <w:tcPr>
            <w:tcW w:w="7285" w:type="dxa"/>
            <w:vAlign w:val="center"/>
          </w:tcPr>
          <w:p w:rsidRPr="00D80E01" w:rsidR="00DE09B1" w:rsidP="00214FCC" w:rsidRDefault="008631A7" w14:paraId="4E37DEFC" w14:textId="4DB06D1C">
            <w:pPr>
              <w:pStyle w:val="BodyText"/>
              <w:spacing w:before="120" w:after="120"/>
              <w:rPr>
                <w:rFonts w:eastAsiaTheme="minorHAnsi"/>
                <w:bCs/>
                <w:lang w:val="en-CA"/>
              </w:rPr>
            </w:pPr>
            <w:r w:rsidRPr="00D80E01">
              <w:rPr>
                <w:rFonts w:eastAsiaTheme="minorHAnsi"/>
                <w:bCs/>
                <w:lang w:val="en-CA"/>
              </w:rPr>
              <w:t>The Common Shares are listed on the</w:t>
            </w:r>
            <w:r w:rsidRPr="00D80E01" w:rsidR="006B2915">
              <w:rPr>
                <w:rFonts w:eastAsiaTheme="minorHAnsi"/>
                <w:bCs/>
                <w:lang w:val="en-CA"/>
              </w:rPr>
              <w:t xml:space="preserve"> </w:t>
            </w:r>
            <w:r w:rsidRPr="00D80E01" w:rsidR="00581820">
              <w:rPr>
                <w:bCs/>
                <w:lang w:val="en-CA"/>
              </w:rPr>
              <w:t>TSX Venture Exchange (the "</w:t>
            </w:r>
            <w:r w:rsidRPr="00D80E01" w:rsidR="00581820">
              <w:rPr>
                <w:b/>
                <w:bCs/>
                <w:lang w:val="en-CA"/>
              </w:rPr>
              <w:t>TSXV</w:t>
            </w:r>
            <w:r w:rsidRPr="00D80E01" w:rsidR="00581820">
              <w:rPr>
                <w:bCs/>
                <w:lang w:val="en-CA"/>
              </w:rPr>
              <w:t xml:space="preserve">") </w:t>
            </w:r>
            <w:r w:rsidRPr="00D80E01">
              <w:rPr>
                <w:rFonts w:eastAsiaTheme="minorHAnsi"/>
                <w:bCs/>
                <w:lang w:val="en-CA"/>
              </w:rPr>
              <w:t xml:space="preserve">under the symbol </w:t>
            </w:r>
            <w:r w:rsidRPr="00D80E01" w:rsidR="009A4F85">
              <w:rPr>
                <w:rFonts w:eastAsiaTheme="minorHAnsi"/>
                <w:bCs/>
                <w:lang w:val="en-CA"/>
              </w:rPr>
              <w:t>"</w:t>
            </w:r>
            <w:r w:rsidRPr="00D80E01">
              <w:rPr>
                <w:rFonts w:eastAsiaTheme="minorHAnsi"/>
                <w:bCs/>
                <w:lang w:val="en-CA"/>
              </w:rPr>
              <w:t>NDVA</w:t>
            </w:r>
            <w:r w:rsidRPr="00D80E01" w:rsidR="009A4F85">
              <w:rPr>
                <w:rFonts w:eastAsiaTheme="minorHAnsi"/>
                <w:bCs/>
                <w:lang w:val="en-CA"/>
              </w:rPr>
              <w:t>"</w:t>
            </w:r>
            <w:r w:rsidRPr="00D80E01">
              <w:rPr>
                <w:rFonts w:eastAsiaTheme="minorHAnsi"/>
                <w:bCs/>
                <w:lang w:val="en-CA"/>
              </w:rPr>
              <w:t>.</w:t>
            </w:r>
          </w:p>
        </w:tc>
      </w:tr>
      <w:tr w:rsidRPr="00D80E01" w:rsidR="00581820" w:rsidTr="00E168DE" w14:paraId="4CAD0C22" w14:textId="77777777">
        <w:trPr>
          <w:cantSplit/>
          <w:jc w:val="center"/>
        </w:trPr>
        <w:tc>
          <w:tcPr>
            <w:tcW w:w="2065" w:type="dxa"/>
            <w:vAlign w:val="center"/>
          </w:tcPr>
          <w:p w:rsidRPr="00D80E01" w:rsidR="00581820" w:rsidP="00581820" w:rsidRDefault="00581820" w14:paraId="79F54D33" w14:textId="475277F3">
            <w:pPr>
              <w:pStyle w:val="BodyText"/>
              <w:spacing w:before="120" w:after="120"/>
              <w:jc w:val="center"/>
              <w:rPr>
                <w:rFonts w:eastAsiaTheme="minorHAnsi"/>
                <w:b/>
                <w:lang w:val="en-CA"/>
              </w:rPr>
            </w:pPr>
            <w:r w:rsidRPr="00D80E01">
              <w:rPr>
                <w:rFonts w:eastAsiaTheme="minorHAnsi"/>
                <w:b/>
                <w:lang w:val="en-CA"/>
              </w:rPr>
              <w:t>Last Closing Price:</w:t>
            </w:r>
          </w:p>
        </w:tc>
        <w:tc>
          <w:tcPr>
            <w:tcW w:w="7285" w:type="dxa"/>
            <w:vAlign w:val="center"/>
          </w:tcPr>
          <w:p w:rsidRPr="00D80E01" w:rsidR="00581820" w:rsidP="00581820" w:rsidRDefault="00581820" w14:paraId="529F848E" w14:textId="71965C6D">
            <w:pPr>
              <w:pStyle w:val="BodyText"/>
              <w:spacing w:before="120" w:after="120"/>
              <w:rPr>
                <w:rFonts w:eastAsiaTheme="minorHAnsi"/>
                <w:bCs/>
                <w:lang w:val="en-CA"/>
              </w:rPr>
            </w:pPr>
            <w:r w:rsidRPr="00D80E01">
              <w:rPr>
                <w:rFonts w:eastAsiaTheme="minorHAnsi"/>
                <w:bCs/>
                <w:lang w:val="en-CA"/>
              </w:rPr>
              <w:t xml:space="preserve">On </w:t>
            </w:r>
            <w:r w:rsidR="00A21A7D">
              <w:rPr>
                <w:bCs/>
                <w:lang w:val="en-CA"/>
              </w:rPr>
              <w:t>March</w:t>
            </w:r>
            <w:r w:rsidRPr="00D80E01">
              <w:rPr>
                <w:bCs/>
                <w:lang w:val="en-CA"/>
              </w:rPr>
              <w:t xml:space="preserve"> </w:t>
            </w:r>
            <w:r w:rsidR="00353CB7">
              <w:rPr>
                <w:bCs/>
                <w:lang w:val="en-CA"/>
              </w:rPr>
              <w:t>11</w:t>
            </w:r>
            <w:r w:rsidRPr="00D80E01">
              <w:rPr>
                <w:bCs/>
                <w:lang w:val="en-CA"/>
              </w:rPr>
              <w:t xml:space="preserve">, 2024, the most recently completed trading day prior the date hereof, the closing price of the Common Shares on the TSXV was </w:t>
            </w:r>
            <w:r w:rsidRPr="00D80E01" w:rsidR="001929B8">
              <w:rPr>
                <w:bCs/>
                <w:lang w:val="en-CA"/>
              </w:rPr>
              <w:t>$</w:t>
            </w:r>
            <w:r w:rsidR="00F07F16">
              <w:rPr>
                <w:bCs/>
                <w:lang w:val="en-CA"/>
              </w:rPr>
              <w:t>0.085</w:t>
            </w:r>
            <w:r w:rsidRPr="00D80E01" w:rsidR="001929B8">
              <w:rPr>
                <w:bCs/>
                <w:lang w:val="en-CA"/>
              </w:rPr>
              <w:t>.</w:t>
            </w:r>
          </w:p>
        </w:tc>
      </w:tr>
      <w:tr w:rsidRPr="00D80E01" w:rsidR="00581820" w:rsidTr="00E168DE" w14:paraId="571EFD6E" w14:textId="77777777">
        <w:trPr>
          <w:cantSplit/>
          <w:jc w:val="center"/>
        </w:trPr>
        <w:tc>
          <w:tcPr>
            <w:tcW w:w="2065" w:type="dxa"/>
            <w:vAlign w:val="center"/>
          </w:tcPr>
          <w:p w:rsidRPr="00D80E01" w:rsidR="00581820" w:rsidP="00581820" w:rsidRDefault="00581820" w14:paraId="7EDD90EF" w14:textId="740826F8">
            <w:pPr>
              <w:pStyle w:val="BodyText"/>
              <w:spacing w:before="120" w:after="120"/>
              <w:jc w:val="center"/>
              <w:rPr>
                <w:rFonts w:eastAsiaTheme="minorHAnsi"/>
                <w:b/>
                <w:lang w:val="en-CA"/>
              </w:rPr>
            </w:pPr>
            <w:r w:rsidRPr="00D80E01">
              <w:rPr>
                <w:rFonts w:eastAsiaTheme="minorHAnsi"/>
                <w:b/>
                <w:lang w:val="en-CA"/>
              </w:rPr>
              <w:lastRenderedPageBreak/>
              <w:t>Description of Common Shares</w:t>
            </w:r>
          </w:p>
        </w:tc>
        <w:tc>
          <w:tcPr>
            <w:tcW w:w="7285" w:type="dxa"/>
            <w:vAlign w:val="center"/>
          </w:tcPr>
          <w:p w:rsidRPr="00D80E01" w:rsidR="00581820" w:rsidP="00581820" w:rsidRDefault="00581820" w14:paraId="150E0D40" w14:textId="4836075C">
            <w:pPr>
              <w:pStyle w:val="BodyText"/>
              <w:spacing w:before="120" w:after="120"/>
              <w:rPr>
                <w:rFonts w:eastAsiaTheme="minorHAnsi"/>
                <w:bCs/>
                <w:lang w:val="en-CA"/>
              </w:rPr>
            </w:pPr>
            <w:r w:rsidRPr="00D80E01">
              <w:rPr>
                <w:rFonts w:eastAsiaTheme="minorHAnsi"/>
                <w:bCs/>
                <w:lang w:val="en-CA"/>
              </w:rPr>
              <w:t>The holders of Common Shares are entitled to: (</w:t>
            </w:r>
            <w:proofErr w:type="spellStart"/>
            <w:r w:rsidRPr="00D80E01">
              <w:rPr>
                <w:rFonts w:eastAsiaTheme="minorHAnsi"/>
                <w:bCs/>
                <w:lang w:val="en-CA"/>
              </w:rPr>
              <w:t>i</w:t>
            </w:r>
            <w:proofErr w:type="spellEnd"/>
            <w:r w:rsidRPr="00D80E01">
              <w:rPr>
                <w:rFonts w:eastAsiaTheme="minorHAnsi"/>
                <w:bCs/>
                <w:lang w:val="en-CA"/>
              </w:rPr>
              <w:t>) receive dividends as and when declared by the board of directors of the Company, out of the moneys properly applicable to the payment of dividends, in such amount and in such form as the board of directors may from time to time determine; (ii) in the event of the dissolution, liquidation or winding-up of the Company, whether voluntary or involuntary, or any other distribution of the assets of the Company among its shareholders for the purpose of winding-up its affairs, receive the remaining property and assets of the Company; and (iii) receive notice of and to attend all meeting of the shareholders of the Company and to have one vote for each Common Share held at all meetings of the shareholders of the Company, except for meeting at which only holders of another specified class or series of common shares of the Company are entitled to vote separately as a class or series.</w:t>
            </w:r>
          </w:p>
        </w:tc>
      </w:tr>
      <w:tr w:rsidRPr="00D80E01" w:rsidR="00581820" w:rsidTr="00E168DE" w14:paraId="4A5DE2F3" w14:textId="77777777">
        <w:trPr>
          <w:cantSplit/>
          <w:jc w:val="center"/>
        </w:trPr>
        <w:tc>
          <w:tcPr>
            <w:tcW w:w="2065" w:type="dxa"/>
            <w:vAlign w:val="center"/>
          </w:tcPr>
          <w:p w:rsidRPr="00D80E01" w:rsidR="00581820" w:rsidP="00581820" w:rsidRDefault="00581820" w14:paraId="4C3F2B3D" w14:textId="6CBB248F">
            <w:pPr>
              <w:pStyle w:val="BodyText"/>
              <w:spacing w:before="120" w:after="120"/>
              <w:jc w:val="center"/>
              <w:rPr>
                <w:rFonts w:eastAsiaTheme="minorHAnsi"/>
                <w:bCs/>
                <w:lang w:val="en-CA"/>
              </w:rPr>
            </w:pPr>
            <w:r w:rsidRPr="00D80E01">
              <w:rPr>
                <w:rFonts w:eastAsiaTheme="minorHAnsi"/>
                <w:b/>
                <w:lang w:val="en-CA"/>
              </w:rPr>
              <w:t>Description of Warrants</w:t>
            </w:r>
          </w:p>
        </w:tc>
        <w:tc>
          <w:tcPr>
            <w:tcW w:w="7285" w:type="dxa"/>
            <w:vAlign w:val="center"/>
          </w:tcPr>
          <w:p w:rsidRPr="00D80E01" w:rsidR="008B1BF6" w:rsidP="008B1BF6" w:rsidRDefault="008B1BF6" w14:paraId="4D931F43" w14:textId="457DE3D1">
            <w:pPr>
              <w:pStyle w:val="BodyText"/>
              <w:spacing w:before="120" w:after="120"/>
              <w:rPr>
                <w:bCs/>
                <w:lang w:val="en-CA"/>
              </w:rPr>
            </w:pPr>
            <w:r w:rsidRPr="00D80E01">
              <w:rPr>
                <w:bCs/>
                <w:lang w:val="en-CA"/>
              </w:rPr>
              <w:t>Each Warrant will entitle the holder thereof to acquire, subject to adjustment in certain circumstances, one Common Share at an exercise price of $0.15 until 5:00 p.m. (Toronto time) on the date that is 36 months following the date of closing, after which time the Warrants will be void and of no value. The Warrants will be governed by the terms and conditions set out in the certificate representing the Warrants (the "</w:t>
            </w:r>
            <w:r w:rsidRPr="00D80E01">
              <w:rPr>
                <w:b/>
                <w:lang w:val="en-CA"/>
              </w:rPr>
              <w:t>Warrant Certificates</w:t>
            </w:r>
            <w:r w:rsidRPr="00D80E01">
              <w:rPr>
                <w:bCs/>
                <w:lang w:val="en-CA"/>
              </w:rPr>
              <w:t>") delivered at the closing of the Offering. The Warrant Certificates will provide for adjustment in the number of Common Shares issuable upon the exercise of the Warrants and/or the exercise price per Common Share upon the occurrence of certain customary events.</w:t>
            </w:r>
          </w:p>
          <w:p w:rsidRPr="00D80E01" w:rsidR="008B1BF6" w:rsidP="008B1BF6" w:rsidRDefault="008B1BF6" w14:paraId="1F64C855" w14:textId="5216DB6E">
            <w:pPr>
              <w:pStyle w:val="BodyText"/>
              <w:spacing w:before="120" w:after="120"/>
              <w:rPr>
                <w:bCs/>
                <w:lang w:val="en-CA"/>
              </w:rPr>
            </w:pPr>
            <w:r w:rsidRPr="00D80E01">
              <w:rPr>
                <w:bCs/>
                <w:lang w:val="en-CA"/>
              </w:rPr>
              <w:t xml:space="preserve">No fractional Common Shares will be issuable to any holder of Warrants upon the exercise thereof, and no cash or other consideration will be paid in lieu of fractional </w:t>
            </w:r>
            <w:r w:rsidRPr="00D80E01" w:rsidR="00786347">
              <w:rPr>
                <w:bCs/>
                <w:lang w:val="en-CA"/>
              </w:rPr>
              <w:t>Common Shares</w:t>
            </w:r>
            <w:r w:rsidRPr="00D80E01">
              <w:rPr>
                <w:bCs/>
                <w:lang w:val="en-CA"/>
              </w:rPr>
              <w:t>. The holding of Warrants will not make the holder thereof a shareholder of the Company or entitle such holder to any right or interest in respect of the Warrants except as expressly provided in the Warrant Certificate. Holders of Warrants will not have any voting or pre-emptive rights or any other rights of a holder of Common Shares.</w:t>
            </w:r>
          </w:p>
          <w:p w:rsidRPr="00D80E01" w:rsidR="00581820" w:rsidP="00581820" w:rsidRDefault="00A82B42" w14:paraId="2E6A9835" w14:textId="521B9D93">
            <w:pPr>
              <w:pStyle w:val="BodyText"/>
              <w:spacing w:before="120" w:after="120"/>
              <w:rPr>
                <w:rFonts w:eastAsiaTheme="minorHAnsi"/>
                <w:bCs/>
                <w:lang w:val="en-CA"/>
              </w:rPr>
            </w:pPr>
            <w:r w:rsidRPr="00D80E01">
              <w:rPr>
                <w:bCs/>
                <w:lang w:val="en-CA"/>
              </w:rPr>
              <w:t>The Company shall be entitled to accelerate the expiry date of the Warrants to a period of thirty days if, for any ten consecutive trading days, the volume weighted average trading price of the Common Shares on the TSXV (or such other stock exchange or quotation system as the Common Shares are then principally listed or quoted) equals or exceeds $0.30 (the "</w:t>
            </w:r>
            <w:r w:rsidRPr="00D80E01">
              <w:rPr>
                <w:b/>
                <w:bCs/>
                <w:lang w:val="en-CA"/>
              </w:rPr>
              <w:t>Acceleration Event</w:t>
            </w:r>
            <w:r w:rsidRPr="00D80E01">
              <w:rPr>
                <w:bCs/>
                <w:lang w:val="en-CA"/>
              </w:rPr>
              <w:t>"). If an Acceleration Event occurs, the Company shall provide notice of the Acceleration Event to the holder of the Warrants not later than five business days from the date of the Acceleration Event.</w:t>
            </w:r>
          </w:p>
        </w:tc>
      </w:tr>
    </w:tbl>
    <w:p w:rsidRPr="00D80E01" w:rsidR="006658C7" w:rsidP="00F33DF6" w:rsidRDefault="006149C4" w14:paraId="20FCCDF8" w14:textId="4F6DBCC0">
      <w:pPr>
        <w:pStyle w:val="BodyText"/>
        <w:spacing w:before="240"/>
        <w:jc w:val="left"/>
        <w:rPr>
          <w:b/>
          <w:lang w:val="en-CA"/>
        </w:rPr>
      </w:pPr>
      <w:r w:rsidRPr="00D80E01">
        <w:rPr>
          <w:b/>
          <w:lang w:val="en-CA"/>
        </w:rPr>
        <w:t>Indiva Limited</w:t>
      </w:r>
      <w:r w:rsidRPr="00D80E01" w:rsidR="006658C7">
        <w:rPr>
          <w:b/>
          <w:lang w:val="en-CA"/>
        </w:rPr>
        <w:t xml:space="preserve"> is conducting a listed issuer financing under section 5A.2 of National Instrument 45-106 </w:t>
      </w:r>
      <w:r w:rsidRPr="00D80E01" w:rsidR="006658C7">
        <w:rPr>
          <w:b/>
          <w:i/>
          <w:iCs/>
          <w:lang w:val="en-CA"/>
        </w:rPr>
        <w:t>Prospectus Exemptions</w:t>
      </w:r>
      <w:r w:rsidRPr="00D80E01" w:rsidR="006658C7">
        <w:rPr>
          <w:b/>
          <w:lang w:val="en-CA"/>
        </w:rPr>
        <w:t>. In connection with this offering, the Company represents the following is true:</w:t>
      </w:r>
    </w:p>
    <w:p w:rsidRPr="00D80E01" w:rsidR="006658C7" w:rsidP="006658C7" w:rsidRDefault="006658C7" w14:paraId="6184BDF5" w14:textId="0127BD11">
      <w:pPr>
        <w:pStyle w:val="BodyText"/>
        <w:numPr>
          <w:ilvl w:val="0"/>
          <w:numId w:val="31"/>
        </w:numPr>
        <w:jc w:val="left"/>
        <w:rPr>
          <w:b/>
          <w:lang w:val="en-CA"/>
        </w:rPr>
      </w:pPr>
      <w:r w:rsidRPr="00D80E01">
        <w:rPr>
          <w:b/>
          <w:lang w:val="en-CA"/>
        </w:rPr>
        <w:t>The Company has active operations and its principal asset is not cash, cash equivalents or its exchange listing;</w:t>
      </w:r>
    </w:p>
    <w:p w:rsidRPr="00D80E01" w:rsidR="006658C7" w:rsidP="006658C7" w:rsidRDefault="006658C7" w14:paraId="7347D18A" w14:textId="4A4D1226">
      <w:pPr>
        <w:pStyle w:val="BodyText"/>
        <w:numPr>
          <w:ilvl w:val="0"/>
          <w:numId w:val="31"/>
        </w:numPr>
        <w:jc w:val="left"/>
        <w:rPr>
          <w:b/>
          <w:lang w:val="en-CA"/>
        </w:rPr>
      </w:pPr>
      <w:r w:rsidRPr="00D80E01">
        <w:rPr>
          <w:b/>
          <w:lang w:val="en-CA"/>
        </w:rPr>
        <w:t>The Company has filed all periodic and timely disclosure documents that it is required to have filed;</w:t>
      </w:r>
    </w:p>
    <w:p w:rsidRPr="00D80E01" w:rsidR="006658C7" w:rsidP="006658C7" w:rsidRDefault="006658C7" w14:paraId="3B52F2E6" w14:textId="13786992">
      <w:pPr>
        <w:pStyle w:val="BodyText"/>
        <w:numPr>
          <w:ilvl w:val="0"/>
          <w:numId w:val="31"/>
        </w:numPr>
        <w:jc w:val="left"/>
        <w:rPr>
          <w:b/>
          <w:lang w:val="en-CA"/>
        </w:rPr>
      </w:pPr>
      <w:r w:rsidRPr="00D80E01">
        <w:rPr>
          <w:b/>
          <w:lang w:val="en-CA"/>
        </w:rPr>
        <w:lastRenderedPageBreak/>
        <w:t>The total dollar amount of this offering, in combination with the dollar amount of all other offerings made under the listed issuer financing exemption in the 12 months immediately before the date of this offering document</w:t>
      </w:r>
      <w:r w:rsidRPr="00D80E01" w:rsidR="00DF2774">
        <w:rPr>
          <w:b/>
          <w:lang w:val="en-CA"/>
        </w:rPr>
        <w:t xml:space="preserve"> (</w:t>
      </w:r>
      <w:r w:rsidRPr="00D80E01" w:rsidR="00652CEF">
        <w:rPr>
          <w:b/>
          <w:lang w:val="en-CA"/>
        </w:rPr>
        <w:t>this</w:t>
      </w:r>
      <w:r w:rsidRPr="00D80E01" w:rsidR="00DF2774">
        <w:rPr>
          <w:b/>
          <w:lang w:val="en-CA"/>
        </w:rPr>
        <w:t xml:space="preserve"> "Offering Document")</w:t>
      </w:r>
      <w:r w:rsidRPr="00D80E01">
        <w:rPr>
          <w:b/>
          <w:lang w:val="en-CA"/>
        </w:rPr>
        <w:t>, will not exceed $5,000,000;</w:t>
      </w:r>
    </w:p>
    <w:p w:rsidRPr="00D80E01" w:rsidR="006658C7" w:rsidP="006658C7" w:rsidRDefault="006658C7" w14:paraId="281EEED5" w14:textId="068FFE1B">
      <w:pPr>
        <w:pStyle w:val="BodyText"/>
        <w:numPr>
          <w:ilvl w:val="0"/>
          <w:numId w:val="31"/>
        </w:numPr>
        <w:jc w:val="left"/>
        <w:rPr>
          <w:b/>
          <w:lang w:val="en-CA"/>
        </w:rPr>
      </w:pPr>
      <w:r w:rsidRPr="00D80E01">
        <w:rPr>
          <w:b/>
          <w:lang w:val="en-CA"/>
        </w:rPr>
        <w:t>The Company will not close this offering unless the Company reasonably believes it has raised sufficient funds to meet its business objectives and liquidity requirements for a period of 12 months following the distribution; and</w:t>
      </w:r>
    </w:p>
    <w:p w:rsidRPr="00D80E01" w:rsidR="00C65FB5" w:rsidP="00C65FB5" w:rsidRDefault="006658C7" w14:paraId="0C7AEB8F" w14:textId="4C6677A1">
      <w:pPr>
        <w:pStyle w:val="BodyText"/>
        <w:numPr>
          <w:ilvl w:val="0"/>
          <w:numId w:val="31"/>
        </w:numPr>
        <w:jc w:val="left"/>
        <w:rPr>
          <w:b/>
          <w:lang w:val="en-CA"/>
        </w:rPr>
      </w:pPr>
      <w:r w:rsidRPr="00D80E01">
        <w:rPr>
          <w:b/>
          <w:lang w:val="en-CA"/>
        </w:rPr>
        <w:t>The Company will not allocate the available funds from this offering to an acquisition that is a significant acquisition or restructuring transaction under securities law or to any other transaction for which the Company seeks security holder approval.</w:t>
      </w:r>
    </w:p>
    <w:p w:rsidRPr="00D80E01" w:rsidR="00AF040E" w:rsidP="00AF040E" w:rsidRDefault="00AF040E" w14:paraId="0116ECD8" w14:textId="0DBD5E9E">
      <w:pPr>
        <w:pStyle w:val="StandardL1"/>
        <w:rPr>
          <w:rFonts w:eastAsiaTheme="minorHAnsi"/>
          <w:lang w:val="en-CA"/>
        </w:rPr>
      </w:pPr>
      <w:r w:rsidRPr="00D80E01">
        <w:rPr>
          <w:rFonts w:eastAsiaTheme="minorHAnsi"/>
          <w:lang w:val="en-CA"/>
        </w:rPr>
        <w:t>FORWARD-LOOKING STATEMENTS</w:t>
      </w:r>
    </w:p>
    <w:p w:rsidRPr="00D80E01" w:rsidR="009D5F76" w:rsidP="009D5F76" w:rsidRDefault="00EE1038" w14:paraId="6B3C408C" w14:textId="295C08AB">
      <w:pPr>
        <w:pStyle w:val="BodyText"/>
        <w:rPr>
          <w:lang w:val="en-CA"/>
        </w:rPr>
      </w:pPr>
      <w:r w:rsidRPr="00D80E01">
        <w:rPr>
          <w:lang w:val="en-CA"/>
        </w:rPr>
        <w:t xml:space="preserve">Certain statements contained </w:t>
      </w:r>
      <w:r w:rsidRPr="00D80E01" w:rsidR="00802999">
        <w:rPr>
          <w:lang w:val="en-CA"/>
        </w:rPr>
        <w:t xml:space="preserve">in this </w:t>
      </w:r>
      <w:r w:rsidRPr="00D80E01" w:rsidR="00DF2774">
        <w:rPr>
          <w:lang w:val="en-CA"/>
        </w:rPr>
        <w:t>Offering Document</w:t>
      </w:r>
      <w:r w:rsidRPr="00D80E01" w:rsidR="00CA1A58">
        <w:rPr>
          <w:lang w:val="en-CA"/>
        </w:rPr>
        <w:t xml:space="preserve"> </w:t>
      </w:r>
      <w:r w:rsidRPr="00D80E01">
        <w:rPr>
          <w:lang w:val="en-CA"/>
        </w:rPr>
        <w:t>release constitute forward-looking information. These</w:t>
      </w:r>
      <w:r w:rsidRPr="00D80E01">
        <w:rPr>
          <w:rFonts w:eastAsiaTheme="minorHAnsi"/>
          <w:lang w:val="en-CA"/>
        </w:rPr>
        <w:t xml:space="preserve"> </w:t>
      </w:r>
      <w:r w:rsidRPr="00D80E01">
        <w:rPr>
          <w:lang w:val="en-CA"/>
        </w:rPr>
        <w:t xml:space="preserve">statements relate to future events or future performance. The use of any of the words </w:t>
      </w:r>
      <w:r w:rsidRPr="00D80E01" w:rsidR="009A4F85">
        <w:rPr>
          <w:lang w:val="en-CA"/>
        </w:rPr>
        <w:t>"</w:t>
      </w:r>
      <w:r w:rsidRPr="00D80E01">
        <w:rPr>
          <w:lang w:val="en-CA"/>
        </w:rPr>
        <w:t>could</w:t>
      </w:r>
      <w:r w:rsidRPr="00D80E01" w:rsidR="009A4F85">
        <w:rPr>
          <w:lang w:val="en-CA"/>
        </w:rPr>
        <w:t>"</w:t>
      </w:r>
      <w:r w:rsidRPr="00D80E01">
        <w:rPr>
          <w:lang w:val="en-CA"/>
        </w:rPr>
        <w:t>,</w:t>
      </w:r>
      <w:r w:rsidRPr="00D80E01">
        <w:rPr>
          <w:rFonts w:eastAsiaTheme="minorHAnsi"/>
          <w:lang w:val="en-CA"/>
        </w:rPr>
        <w:t xml:space="preserve"> </w:t>
      </w:r>
      <w:r w:rsidRPr="00D80E01" w:rsidR="009A4F85">
        <w:rPr>
          <w:lang w:val="en-CA"/>
        </w:rPr>
        <w:t>"</w:t>
      </w:r>
      <w:r w:rsidRPr="00D80E01">
        <w:rPr>
          <w:lang w:val="en-CA"/>
        </w:rPr>
        <w:t>intend</w:t>
      </w:r>
      <w:r w:rsidRPr="00D80E01" w:rsidR="009A4F85">
        <w:rPr>
          <w:lang w:val="en-CA"/>
        </w:rPr>
        <w:t>"</w:t>
      </w:r>
      <w:r w:rsidRPr="00D80E01">
        <w:rPr>
          <w:lang w:val="en-CA"/>
        </w:rPr>
        <w:t xml:space="preserve">, </w:t>
      </w:r>
      <w:r w:rsidRPr="00D80E01" w:rsidR="009A4F85">
        <w:rPr>
          <w:lang w:val="en-CA"/>
        </w:rPr>
        <w:t>"</w:t>
      </w:r>
      <w:r w:rsidRPr="00D80E01">
        <w:rPr>
          <w:lang w:val="en-CA"/>
        </w:rPr>
        <w:t>expect</w:t>
      </w:r>
      <w:r w:rsidRPr="00D80E01" w:rsidR="009A4F85">
        <w:rPr>
          <w:lang w:val="en-CA"/>
        </w:rPr>
        <w:t>"</w:t>
      </w:r>
      <w:r w:rsidRPr="00D80E01">
        <w:rPr>
          <w:lang w:val="en-CA"/>
        </w:rPr>
        <w:t xml:space="preserve">, </w:t>
      </w:r>
      <w:r w:rsidRPr="00D80E01" w:rsidR="009A4F85">
        <w:rPr>
          <w:lang w:val="en-CA"/>
        </w:rPr>
        <w:t>"</w:t>
      </w:r>
      <w:r w:rsidRPr="00D80E01">
        <w:rPr>
          <w:lang w:val="en-CA"/>
        </w:rPr>
        <w:t>believe</w:t>
      </w:r>
      <w:r w:rsidRPr="00D80E01" w:rsidR="009A4F85">
        <w:rPr>
          <w:lang w:val="en-CA"/>
        </w:rPr>
        <w:t>"</w:t>
      </w:r>
      <w:r w:rsidRPr="00D80E01">
        <w:rPr>
          <w:lang w:val="en-CA"/>
        </w:rPr>
        <w:t xml:space="preserve">, </w:t>
      </w:r>
      <w:r w:rsidRPr="00D80E01" w:rsidR="009A4F85">
        <w:rPr>
          <w:lang w:val="en-CA"/>
        </w:rPr>
        <w:t>"</w:t>
      </w:r>
      <w:r w:rsidRPr="00D80E01">
        <w:rPr>
          <w:lang w:val="en-CA"/>
        </w:rPr>
        <w:t>will</w:t>
      </w:r>
      <w:r w:rsidRPr="00D80E01" w:rsidR="009A4F85">
        <w:rPr>
          <w:lang w:val="en-CA"/>
        </w:rPr>
        <w:t>"</w:t>
      </w:r>
      <w:r w:rsidRPr="00D80E01">
        <w:rPr>
          <w:lang w:val="en-CA"/>
        </w:rPr>
        <w:t xml:space="preserve">, </w:t>
      </w:r>
      <w:r w:rsidRPr="00D80E01" w:rsidR="009A4F85">
        <w:rPr>
          <w:lang w:val="en-CA"/>
        </w:rPr>
        <w:t>"</w:t>
      </w:r>
      <w:r w:rsidRPr="00D80E01">
        <w:rPr>
          <w:lang w:val="en-CA"/>
        </w:rPr>
        <w:t>projected</w:t>
      </w:r>
      <w:r w:rsidRPr="00D80E01" w:rsidR="009A4F85">
        <w:rPr>
          <w:lang w:val="en-CA"/>
        </w:rPr>
        <w:t>"</w:t>
      </w:r>
      <w:r w:rsidRPr="00D80E01">
        <w:rPr>
          <w:lang w:val="en-CA"/>
        </w:rPr>
        <w:t xml:space="preserve">, </w:t>
      </w:r>
      <w:r w:rsidRPr="00D80E01" w:rsidR="009A4F85">
        <w:rPr>
          <w:lang w:val="en-CA"/>
        </w:rPr>
        <w:t>"</w:t>
      </w:r>
      <w:r w:rsidRPr="00D80E01">
        <w:rPr>
          <w:lang w:val="en-CA"/>
        </w:rPr>
        <w:t>estimated</w:t>
      </w:r>
      <w:r w:rsidRPr="00D80E01" w:rsidR="009A4F85">
        <w:rPr>
          <w:lang w:val="en-CA"/>
        </w:rPr>
        <w:t>"</w:t>
      </w:r>
      <w:r w:rsidRPr="00D80E01">
        <w:rPr>
          <w:lang w:val="en-CA"/>
        </w:rPr>
        <w:t xml:space="preserve"> and similar expressions and</w:t>
      </w:r>
      <w:r w:rsidRPr="00D80E01">
        <w:rPr>
          <w:rFonts w:eastAsiaTheme="minorHAnsi"/>
          <w:lang w:val="en-CA"/>
        </w:rPr>
        <w:t xml:space="preserve"> </w:t>
      </w:r>
      <w:r w:rsidRPr="00D80E01">
        <w:rPr>
          <w:lang w:val="en-CA"/>
        </w:rPr>
        <w:t>statements relating to matters that are not historical facts are intended to identify forward-looking information and are based on the parties</w:t>
      </w:r>
      <w:r w:rsidRPr="00D80E01" w:rsidR="009A4F85">
        <w:rPr>
          <w:lang w:val="en-CA"/>
        </w:rPr>
        <w:t>'</w:t>
      </w:r>
      <w:r w:rsidRPr="00D80E01">
        <w:rPr>
          <w:lang w:val="en-CA"/>
        </w:rPr>
        <w:t xml:space="preserve"> current belief or assumptions as to the</w:t>
      </w:r>
      <w:r w:rsidRPr="00D80E01">
        <w:rPr>
          <w:rFonts w:eastAsiaTheme="minorHAnsi"/>
          <w:lang w:val="en-CA"/>
        </w:rPr>
        <w:t xml:space="preserve"> </w:t>
      </w:r>
      <w:r w:rsidRPr="00D80E01">
        <w:rPr>
          <w:lang w:val="en-CA"/>
        </w:rPr>
        <w:t>outcome and timing of such future events. Actual future results may differ materially. In</w:t>
      </w:r>
      <w:r w:rsidRPr="00D80E01">
        <w:rPr>
          <w:rFonts w:eastAsiaTheme="minorHAnsi"/>
          <w:lang w:val="en-CA"/>
        </w:rPr>
        <w:t xml:space="preserve"> </w:t>
      </w:r>
      <w:r w:rsidRPr="00D80E01">
        <w:rPr>
          <w:lang w:val="en-CA"/>
        </w:rPr>
        <w:t xml:space="preserve">particular, </w:t>
      </w:r>
      <w:r w:rsidRPr="00D80E01" w:rsidR="00802999">
        <w:rPr>
          <w:lang w:val="en-CA"/>
        </w:rPr>
        <w:t xml:space="preserve">this </w:t>
      </w:r>
      <w:r w:rsidRPr="00D80E01" w:rsidR="00DF2774">
        <w:rPr>
          <w:lang w:val="en-CA"/>
        </w:rPr>
        <w:t>Offering Document</w:t>
      </w:r>
      <w:r w:rsidRPr="00D80E01" w:rsidR="00802999">
        <w:rPr>
          <w:lang w:val="en-CA"/>
        </w:rPr>
        <w:t xml:space="preserve"> </w:t>
      </w:r>
      <w:r w:rsidRPr="00D80E01">
        <w:rPr>
          <w:lang w:val="en-CA"/>
        </w:rPr>
        <w:t>contains forward-looking information relating to, among other</w:t>
      </w:r>
      <w:r w:rsidRPr="00D80E01">
        <w:rPr>
          <w:rFonts w:eastAsiaTheme="minorHAnsi"/>
          <w:lang w:val="en-CA"/>
        </w:rPr>
        <w:t xml:space="preserve"> </w:t>
      </w:r>
      <w:r w:rsidRPr="00D80E01">
        <w:rPr>
          <w:lang w:val="en-CA"/>
        </w:rPr>
        <w:t>things</w:t>
      </w:r>
      <w:r w:rsidRPr="00D80E01" w:rsidR="00BA3E2B">
        <w:rPr>
          <w:lang w:val="en-CA"/>
        </w:rPr>
        <w:t>: (</w:t>
      </w:r>
      <w:proofErr w:type="spellStart"/>
      <w:r w:rsidRPr="00D80E01" w:rsidR="00BA3E2B">
        <w:rPr>
          <w:lang w:val="en-CA"/>
        </w:rPr>
        <w:t>i</w:t>
      </w:r>
      <w:proofErr w:type="spellEnd"/>
      <w:r w:rsidRPr="00D80E01" w:rsidR="00BA3E2B">
        <w:rPr>
          <w:lang w:val="en-CA"/>
        </w:rPr>
        <w:t>)</w:t>
      </w:r>
      <w:r w:rsidRPr="00D80E01">
        <w:rPr>
          <w:lang w:val="en-CA"/>
        </w:rPr>
        <w:t xml:space="preserve"> </w:t>
      </w:r>
      <w:r w:rsidRPr="00D80E01" w:rsidR="00C95FA7">
        <w:rPr>
          <w:lang w:val="en-CA"/>
        </w:rPr>
        <w:t>the Company</w:t>
      </w:r>
      <w:r w:rsidRPr="00D80E01" w:rsidR="009A4F85">
        <w:rPr>
          <w:lang w:val="en-CA"/>
        </w:rPr>
        <w:t>'</w:t>
      </w:r>
      <w:r w:rsidRPr="00D80E01" w:rsidR="00C95FA7">
        <w:rPr>
          <w:lang w:val="en-CA"/>
        </w:rPr>
        <w:t>s expectations with respect to the use of proceeds and the use of the available funds following completion of the Offering;</w:t>
      </w:r>
      <w:r w:rsidRPr="00D80E01" w:rsidR="00BA3E2B">
        <w:rPr>
          <w:lang w:val="en-CA"/>
        </w:rPr>
        <w:t xml:space="preserve"> (ii)</w:t>
      </w:r>
      <w:r w:rsidRPr="00D80E01" w:rsidR="00C95FA7">
        <w:rPr>
          <w:lang w:val="en-CA"/>
        </w:rPr>
        <w:t xml:space="preserve"> completion of the Offering and the date of such completion;</w:t>
      </w:r>
      <w:r w:rsidRPr="00D80E01" w:rsidR="00BA3E2B">
        <w:rPr>
          <w:lang w:val="en-CA"/>
        </w:rPr>
        <w:t xml:space="preserve"> (iii)</w:t>
      </w:r>
      <w:r w:rsidRPr="00D80E01" w:rsidR="00C95FA7">
        <w:rPr>
          <w:lang w:val="en-CA"/>
        </w:rPr>
        <w:t xml:space="preserve"> </w:t>
      </w:r>
      <w:r w:rsidRPr="00D80E01" w:rsidR="00222397">
        <w:rPr>
          <w:lang w:val="en-CA"/>
        </w:rPr>
        <w:t>t</w:t>
      </w:r>
      <w:r w:rsidRPr="00D80E01" w:rsidR="00C95FA7">
        <w:rPr>
          <w:lang w:val="en-CA"/>
        </w:rPr>
        <w:t>he Company</w:t>
      </w:r>
      <w:r w:rsidRPr="00D80E01" w:rsidR="009A4F85">
        <w:rPr>
          <w:lang w:val="en-CA"/>
        </w:rPr>
        <w:t>'</w:t>
      </w:r>
      <w:r w:rsidRPr="00D80E01" w:rsidR="00C95FA7">
        <w:rPr>
          <w:lang w:val="en-CA"/>
        </w:rPr>
        <w:t xml:space="preserve">s future plans, objectives, strategies and goals relating to its business, technology and products; </w:t>
      </w:r>
      <w:r w:rsidRPr="00D80E01" w:rsidR="00BA3E2B">
        <w:rPr>
          <w:lang w:val="en-CA"/>
        </w:rPr>
        <w:t xml:space="preserve">(iv) </w:t>
      </w:r>
      <w:r w:rsidRPr="00D80E01" w:rsidR="00E45D04">
        <w:rPr>
          <w:lang w:val="en-CA"/>
        </w:rPr>
        <w:t>t</w:t>
      </w:r>
      <w:r w:rsidRPr="00D80E01" w:rsidR="00C95FA7">
        <w:rPr>
          <w:lang w:val="en-CA"/>
        </w:rPr>
        <w:t>he Company</w:t>
      </w:r>
      <w:r w:rsidRPr="00D80E01" w:rsidR="009A4F85">
        <w:rPr>
          <w:lang w:val="en-CA"/>
        </w:rPr>
        <w:t>'</w:t>
      </w:r>
      <w:r w:rsidRPr="00D80E01" w:rsidR="00C95FA7">
        <w:rPr>
          <w:lang w:val="en-CA"/>
        </w:rPr>
        <w:t>s belief that its current cash and short-term investments together with anticipated cash flow from operations will be sufficient to meet the Company</w:t>
      </w:r>
      <w:r w:rsidRPr="00D80E01" w:rsidR="009A4F85">
        <w:rPr>
          <w:lang w:val="en-CA"/>
        </w:rPr>
        <w:t>'</w:t>
      </w:r>
      <w:r w:rsidRPr="00D80E01" w:rsidR="00C95FA7">
        <w:rPr>
          <w:lang w:val="en-CA"/>
        </w:rPr>
        <w:t>s working capital requirements and capital expenditure requirements for the foreseeable future</w:t>
      </w:r>
      <w:r w:rsidRPr="00D80E01" w:rsidR="009D5F76">
        <w:rPr>
          <w:lang w:val="en-CA"/>
        </w:rPr>
        <w:t>; (v) the Company's outlook for and expected revenue, net revenue and future financial results;</w:t>
      </w:r>
      <w:r w:rsidRPr="00D80E01" w:rsidR="00AB2617">
        <w:rPr>
          <w:lang w:val="en-CA"/>
        </w:rPr>
        <w:t xml:space="preserve"> </w:t>
      </w:r>
      <w:r w:rsidRPr="00D80E01" w:rsidR="00F8606D">
        <w:rPr>
          <w:lang w:val="en-CA"/>
        </w:rPr>
        <w:t xml:space="preserve">(vi) the anticipated settlement of the Convertible Debentures (as defined herein) through the issuance of Common Shares; </w:t>
      </w:r>
      <w:r w:rsidRPr="00D80E01" w:rsidR="00AB2617">
        <w:rPr>
          <w:lang w:val="en-CA"/>
        </w:rPr>
        <w:t>and</w:t>
      </w:r>
      <w:r w:rsidRPr="00D80E01" w:rsidR="009D5F76">
        <w:rPr>
          <w:lang w:val="en-CA"/>
        </w:rPr>
        <w:t xml:space="preserve"> (v</w:t>
      </w:r>
      <w:r w:rsidRPr="00D80E01" w:rsidR="00F8606D">
        <w:rPr>
          <w:lang w:val="en-CA"/>
        </w:rPr>
        <w:t>i</w:t>
      </w:r>
      <w:r w:rsidRPr="00D80E01" w:rsidR="009D5F76">
        <w:rPr>
          <w:lang w:val="en-CA"/>
        </w:rPr>
        <w:t>i) the projected growth of the Company's business and operations (including existing and new segments thereof), and the future business activities of, and developments related to, the Company within such segments after the date of this Offering Document</w:t>
      </w:r>
      <w:r w:rsidRPr="00D80E01" w:rsidR="00031386">
        <w:rPr>
          <w:lang w:val="en-CA"/>
        </w:rPr>
        <w:t>.</w:t>
      </w:r>
    </w:p>
    <w:p w:rsidRPr="00D80E01" w:rsidR="00E84CB6" w:rsidP="002E331D" w:rsidRDefault="00EE1038" w14:paraId="62C07C27" w14:textId="529B2071">
      <w:pPr>
        <w:pStyle w:val="BodyText"/>
        <w:rPr>
          <w:rFonts w:eastAsiaTheme="minorHAnsi"/>
          <w:lang w:val="en-CA"/>
        </w:rPr>
      </w:pPr>
      <w:r w:rsidRPr="00D80E01">
        <w:rPr>
          <w:lang w:val="en-CA"/>
        </w:rPr>
        <w:t>Various assumptions or factors are typically applied in drawing conclusions or making the</w:t>
      </w:r>
      <w:r w:rsidRPr="00D80E01">
        <w:rPr>
          <w:rFonts w:eastAsiaTheme="minorHAnsi"/>
          <w:lang w:val="en-CA"/>
        </w:rPr>
        <w:t xml:space="preserve"> </w:t>
      </w:r>
      <w:r w:rsidRPr="00D80E01">
        <w:rPr>
          <w:lang w:val="en-CA"/>
        </w:rPr>
        <w:t>forecasts or projections set out in forward-looking information. Those assumptions and factors</w:t>
      </w:r>
      <w:r w:rsidRPr="00D80E01">
        <w:rPr>
          <w:rFonts w:eastAsiaTheme="minorHAnsi"/>
          <w:lang w:val="en-CA"/>
        </w:rPr>
        <w:t xml:space="preserve"> </w:t>
      </w:r>
      <w:r w:rsidRPr="00D80E01">
        <w:rPr>
          <w:lang w:val="en-CA"/>
        </w:rPr>
        <w:t>are based on information currently available to the Company, and include, without limitation,</w:t>
      </w:r>
      <w:r w:rsidRPr="00D80E01">
        <w:rPr>
          <w:rFonts w:eastAsiaTheme="minorHAnsi"/>
          <w:lang w:val="en-CA"/>
        </w:rPr>
        <w:t xml:space="preserve"> </w:t>
      </w:r>
      <w:r w:rsidRPr="00D80E01">
        <w:rPr>
          <w:lang w:val="en-CA"/>
        </w:rPr>
        <w:t>assumptions about the Company</w:t>
      </w:r>
      <w:r w:rsidRPr="00D80E01" w:rsidR="009A4F85">
        <w:rPr>
          <w:lang w:val="en-CA"/>
        </w:rPr>
        <w:t>'</w:t>
      </w:r>
      <w:r w:rsidRPr="00D80E01">
        <w:rPr>
          <w:lang w:val="en-CA"/>
        </w:rPr>
        <w:t>s future business objectives, goals, and capabilities, the</w:t>
      </w:r>
      <w:r w:rsidRPr="00D80E01">
        <w:rPr>
          <w:rFonts w:eastAsiaTheme="minorHAnsi"/>
          <w:lang w:val="en-CA"/>
        </w:rPr>
        <w:t xml:space="preserve"> </w:t>
      </w:r>
      <w:r w:rsidRPr="00D80E01">
        <w:rPr>
          <w:lang w:val="en-CA"/>
        </w:rPr>
        <w:t>cannabis market, the regulatory framework applicable to the Company and its operations, and</w:t>
      </w:r>
      <w:r w:rsidRPr="00D80E01">
        <w:rPr>
          <w:rFonts w:eastAsiaTheme="minorHAnsi"/>
          <w:lang w:val="en-CA"/>
        </w:rPr>
        <w:t xml:space="preserve"> </w:t>
      </w:r>
      <w:r w:rsidRPr="00D80E01">
        <w:rPr>
          <w:lang w:val="en-CA"/>
        </w:rPr>
        <w:t>the Company</w:t>
      </w:r>
      <w:r w:rsidRPr="00D80E01" w:rsidR="009A4F85">
        <w:rPr>
          <w:lang w:val="en-CA"/>
        </w:rPr>
        <w:t>'</w:t>
      </w:r>
      <w:r w:rsidRPr="00D80E01">
        <w:rPr>
          <w:lang w:val="en-CA"/>
        </w:rPr>
        <w:t>s financial resources. Although the Company believes that the assumptions</w:t>
      </w:r>
      <w:r w:rsidRPr="00D80E01">
        <w:rPr>
          <w:rFonts w:eastAsiaTheme="minorHAnsi"/>
          <w:lang w:val="en-CA"/>
        </w:rPr>
        <w:t xml:space="preserve"> </w:t>
      </w:r>
      <w:r w:rsidRPr="00D80E01">
        <w:rPr>
          <w:lang w:val="en-CA"/>
        </w:rPr>
        <w:t xml:space="preserve">underlying, and the expectations reflected in, forward-looking statements in </w:t>
      </w:r>
      <w:r w:rsidRPr="00D80E01" w:rsidR="00802999">
        <w:rPr>
          <w:lang w:val="en-CA"/>
        </w:rPr>
        <w:t xml:space="preserve">this </w:t>
      </w:r>
      <w:r w:rsidRPr="00D80E01" w:rsidR="00DF2774">
        <w:rPr>
          <w:lang w:val="en-CA"/>
        </w:rPr>
        <w:t>Offering Document</w:t>
      </w:r>
      <w:r w:rsidRPr="00D80E01" w:rsidR="00802999">
        <w:rPr>
          <w:lang w:val="en-CA"/>
        </w:rPr>
        <w:t xml:space="preserve"> </w:t>
      </w:r>
      <w:r w:rsidRPr="00D80E01">
        <w:rPr>
          <w:lang w:val="en-CA"/>
        </w:rPr>
        <w:t>are reasonable, it can give no assurance that such expectations will prove to have been correct.</w:t>
      </w:r>
      <w:r w:rsidRPr="00D80E01">
        <w:rPr>
          <w:rFonts w:eastAsiaTheme="minorHAnsi"/>
          <w:lang w:val="en-CA"/>
        </w:rPr>
        <w:t xml:space="preserve"> </w:t>
      </w:r>
    </w:p>
    <w:p w:rsidRPr="00D80E01" w:rsidR="00EE1038" w:rsidP="002E331D" w:rsidRDefault="00EE1038" w14:paraId="0ED9272B" w14:textId="48A0FAC0">
      <w:pPr>
        <w:pStyle w:val="BodyText"/>
        <w:rPr>
          <w:lang w:val="en-CA"/>
        </w:rPr>
      </w:pPr>
      <w:r w:rsidRPr="00D80E01">
        <w:rPr>
          <w:lang w:val="en-CA"/>
        </w:rPr>
        <w:t>A number of factors could cause actual events, performance or results to differ materially from</w:t>
      </w:r>
      <w:r w:rsidRPr="00D80E01">
        <w:rPr>
          <w:rFonts w:eastAsiaTheme="minorHAnsi"/>
          <w:lang w:val="en-CA"/>
        </w:rPr>
        <w:t xml:space="preserve"> </w:t>
      </w:r>
      <w:r w:rsidRPr="00D80E01">
        <w:rPr>
          <w:lang w:val="en-CA"/>
        </w:rPr>
        <w:t>what is projected in the forward-looking statements. Specifically, readers are cautioned that</w:t>
      </w:r>
      <w:r w:rsidRPr="00D80E01">
        <w:rPr>
          <w:rFonts w:eastAsiaTheme="minorHAnsi"/>
          <w:lang w:val="en-CA"/>
        </w:rPr>
        <w:t xml:space="preserve"> </w:t>
      </w:r>
      <w:r w:rsidRPr="00D80E01">
        <w:rPr>
          <w:lang w:val="en-CA"/>
        </w:rPr>
        <w:t>forward-looking statements involve known and unknown risks, uncertainties and other factors</w:t>
      </w:r>
      <w:r w:rsidRPr="00D80E01">
        <w:rPr>
          <w:rFonts w:eastAsiaTheme="minorHAnsi"/>
          <w:lang w:val="en-CA"/>
        </w:rPr>
        <w:t xml:space="preserve"> </w:t>
      </w:r>
      <w:r w:rsidRPr="00D80E01">
        <w:rPr>
          <w:lang w:val="en-CA"/>
        </w:rPr>
        <w:t>which may cause the actual results, performance or achievements of the Company, as</w:t>
      </w:r>
      <w:r w:rsidRPr="00D80E01">
        <w:rPr>
          <w:rFonts w:eastAsiaTheme="minorHAnsi"/>
          <w:lang w:val="en-CA"/>
        </w:rPr>
        <w:t xml:space="preserve"> </w:t>
      </w:r>
      <w:r w:rsidRPr="00D80E01">
        <w:rPr>
          <w:lang w:val="en-CA"/>
        </w:rPr>
        <w:t>applicable, to be materially different from any future results, performance or achievements</w:t>
      </w:r>
      <w:r w:rsidRPr="00D80E01">
        <w:rPr>
          <w:rFonts w:eastAsiaTheme="minorHAnsi"/>
          <w:lang w:val="en-CA"/>
        </w:rPr>
        <w:t xml:space="preserve"> </w:t>
      </w:r>
      <w:r w:rsidRPr="00D80E01">
        <w:rPr>
          <w:lang w:val="en-CA"/>
        </w:rPr>
        <w:t>expressed or implied by such forward-looking statements, including, but not limited to, risks and</w:t>
      </w:r>
      <w:r w:rsidRPr="00D80E01">
        <w:rPr>
          <w:rFonts w:eastAsiaTheme="minorHAnsi"/>
          <w:lang w:val="en-CA"/>
        </w:rPr>
        <w:t xml:space="preserve"> </w:t>
      </w:r>
      <w:r w:rsidRPr="00D80E01">
        <w:rPr>
          <w:lang w:val="en-CA"/>
        </w:rPr>
        <w:t>uncertainties related to: (</w:t>
      </w:r>
      <w:proofErr w:type="spellStart"/>
      <w:r w:rsidRPr="00D80E01">
        <w:rPr>
          <w:lang w:val="en-CA"/>
        </w:rPr>
        <w:t>i</w:t>
      </w:r>
      <w:proofErr w:type="spellEnd"/>
      <w:r w:rsidRPr="00D80E01">
        <w:rPr>
          <w:lang w:val="en-CA"/>
        </w:rPr>
        <w:t>) the available funds of the Company and the anticipated use of such</w:t>
      </w:r>
      <w:r w:rsidRPr="00D80E01">
        <w:rPr>
          <w:rFonts w:eastAsiaTheme="minorHAnsi"/>
          <w:lang w:val="en-CA"/>
        </w:rPr>
        <w:t xml:space="preserve"> </w:t>
      </w:r>
      <w:r w:rsidRPr="00D80E01">
        <w:rPr>
          <w:lang w:val="en-CA"/>
        </w:rPr>
        <w:t>funds</w:t>
      </w:r>
      <w:r w:rsidRPr="00D80E01" w:rsidR="00F7756B">
        <w:rPr>
          <w:lang w:val="en-CA"/>
        </w:rPr>
        <w:t>;</w:t>
      </w:r>
      <w:r w:rsidRPr="00D80E01">
        <w:rPr>
          <w:lang w:val="en-CA"/>
        </w:rPr>
        <w:t xml:space="preserve"> (ii) the availability of financing opportunities</w:t>
      </w:r>
      <w:r w:rsidRPr="00D80E01" w:rsidR="00F7756B">
        <w:rPr>
          <w:lang w:val="en-CA"/>
        </w:rPr>
        <w:t>;</w:t>
      </w:r>
      <w:r w:rsidRPr="00D80E01">
        <w:rPr>
          <w:lang w:val="en-CA"/>
        </w:rPr>
        <w:t xml:space="preserve"> (iii) legal and regulatory risks inherent in</w:t>
      </w:r>
      <w:r w:rsidRPr="00D80E01">
        <w:rPr>
          <w:rFonts w:eastAsiaTheme="minorHAnsi"/>
          <w:lang w:val="en-CA"/>
        </w:rPr>
        <w:t xml:space="preserve"> </w:t>
      </w:r>
      <w:r w:rsidRPr="00D80E01">
        <w:rPr>
          <w:lang w:val="en-CA"/>
        </w:rPr>
        <w:t>the cannabis industry</w:t>
      </w:r>
      <w:r w:rsidRPr="00D80E01" w:rsidR="00F7756B">
        <w:rPr>
          <w:lang w:val="en-CA"/>
        </w:rPr>
        <w:t>;</w:t>
      </w:r>
      <w:r w:rsidRPr="00D80E01">
        <w:rPr>
          <w:lang w:val="en-CA"/>
        </w:rPr>
        <w:t xml:space="preserve"> (iv) risks associated with economic conditions</w:t>
      </w:r>
      <w:r w:rsidRPr="00D80E01" w:rsidR="00F7756B">
        <w:rPr>
          <w:lang w:val="en-CA"/>
        </w:rPr>
        <w:t>;</w:t>
      </w:r>
      <w:r w:rsidRPr="00D80E01">
        <w:rPr>
          <w:lang w:val="en-CA"/>
        </w:rPr>
        <w:t xml:space="preserve"> (v) dependence on</w:t>
      </w:r>
      <w:r w:rsidRPr="00D80E01">
        <w:rPr>
          <w:rFonts w:eastAsiaTheme="minorHAnsi"/>
          <w:lang w:val="en-CA"/>
        </w:rPr>
        <w:t xml:space="preserve"> </w:t>
      </w:r>
      <w:r w:rsidRPr="00D80E01">
        <w:rPr>
          <w:lang w:val="en-CA"/>
        </w:rPr>
        <w:t>management</w:t>
      </w:r>
      <w:r w:rsidRPr="00D80E01" w:rsidR="00F7756B">
        <w:rPr>
          <w:lang w:val="en-CA"/>
        </w:rPr>
        <w:t>;</w:t>
      </w:r>
      <w:r w:rsidRPr="00D80E01">
        <w:rPr>
          <w:lang w:val="en-CA"/>
        </w:rPr>
        <w:t xml:space="preserve"> (vi) public opinion and perception of the cannabis industry</w:t>
      </w:r>
      <w:r w:rsidRPr="00D80E01" w:rsidR="00F7756B">
        <w:rPr>
          <w:lang w:val="en-CA"/>
        </w:rPr>
        <w:t>;</w:t>
      </w:r>
      <w:r w:rsidRPr="00D80E01">
        <w:rPr>
          <w:lang w:val="en-CA"/>
        </w:rPr>
        <w:t xml:space="preserve"> (vii) risks related to</w:t>
      </w:r>
      <w:r w:rsidRPr="00D80E01">
        <w:rPr>
          <w:rFonts w:eastAsiaTheme="minorHAnsi"/>
          <w:lang w:val="en-CA"/>
        </w:rPr>
        <w:t xml:space="preserve"> </w:t>
      </w:r>
      <w:r w:rsidRPr="00D80E01">
        <w:rPr>
          <w:lang w:val="en-CA"/>
        </w:rPr>
        <w:t xml:space="preserve">contracts </w:t>
      </w:r>
      <w:r w:rsidRPr="00D80E01">
        <w:rPr>
          <w:lang w:val="en-CA"/>
        </w:rPr>
        <w:lastRenderedPageBreak/>
        <w:t>with third-party service providers</w:t>
      </w:r>
      <w:r w:rsidRPr="00D80E01" w:rsidR="00F7756B">
        <w:rPr>
          <w:lang w:val="en-CA"/>
        </w:rPr>
        <w:t>;</w:t>
      </w:r>
      <w:r w:rsidRPr="00D80E01">
        <w:rPr>
          <w:lang w:val="en-CA"/>
        </w:rPr>
        <w:t xml:space="preserve"> (vii) risks related to the enforceability of contracts</w:t>
      </w:r>
      <w:r w:rsidRPr="00D80E01" w:rsidR="00F7756B">
        <w:rPr>
          <w:lang w:val="en-CA"/>
        </w:rPr>
        <w:t>;</w:t>
      </w:r>
      <w:r w:rsidRPr="00D80E01">
        <w:rPr>
          <w:rFonts w:eastAsiaTheme="minorHAnsi"/>
          <w:lang w:val="en-CA"/>
        </w:rPr>
        <w:t xml:space="preserve"> </w:t>
      </w:r>
      <w:r w:rsidRPr="00D80E01">
        <w:rPr>
          <w:lang w:val="en-CA"/>
        </w:rPr>
        <w:t>(viii) reliance on the expertise and judgment of senior management of the Company, and ability</w:t>
      </w:r>
      <w:r w:rsidRPr="00D80E01">
        <w:rPr>
          <w:rFonts w:eastAsiaTheme="minorHAnsi"/>
          <w:lang w:val="en-CA"/>
        </w:rPr>
        <w:t xml:space="preserve"> </w:t>
      </w:r>
      <w:r w:rsidRPr="00D80E01">
        <w:rPr>
          <w:lang w:val="en-CA"/>
        </w:rPr>
        <w:t>to retain such senior management</w:t>
      </w:r>
      <w:r w:rsidRPr="00D80E01" w:rsidR="00F7756B">
        <w:rPr>
          <w:lang w:val="en-CA"/>
        </w:rPr>
        <w:t>;</w:t>
      </w:r>
      <w:r w:rsidRPr="00D80E01">
        <w:rPr>
          <w:lang w:val="en-CA"/>
        </w:rPr>
        <w:t xml:space="preserve"> (ix) risks related to proprietary intellectual property and</w:t>
      </w:r>
      <w:r w:rsidRPr="00D80E01">
        <w:rPr>
          <w:rFonts w:eastAsiaTheme="minorHAnsi"/>
          <w:lang w:val="en-CA"/>
        </w:rPr>
        <w:t xml:space="preserve"> </w:t>
      </w:r>
      <w:r w:rsidRPr="00D80E01">
        <w:rPr>
          <w:lang w:val="en-CA"/>
        </w:rPr>
        <w:t>potential infringement by third-parties</w:t>
      </w:r>
      <w:r w:rsidRPr="00D80E01" w:rsidR="00F7756B">
        <w:rPr>
          <w:lang w:val="en-CA"/>
        </w:rPr>
        <w:t>;</w:t>
      </w:r>
      <w:r w:rsidRPr="00D80E01">
        <w:rPr>
          <w:lang w:val="en-CA"/>
        </w:rPr>
        <w:t xml:space="preserve"> (x) risks relating to the management of growth and/or</w:t>
      </w:r>
      <w:r w:rsidRPr="00D80E01">
        <w:rPr>
          <w:rFonts w:eastAsiaTheme="minorHAnsi"/>
          <w:lang w:val="en-CA"/>
        </w:rPr>
        <w:t xml:space="preserve"> </w:t>
      </w:r>
      <w:r w:rsidRPr="00D80E01">
        <w:rPr>
          <w:lang w:val="en-CA"/>
        </w:rPr>
        <w:t>increasing competition in the industry</w:t>
      </w:r>
      <w:r w:rsidRPr="00D80E01" w:rsidR="00F7756B">
        <w:rPr>
          <w:lang w:val="en-CA"/>
        </w:rPr>
        <w:t>;</w:t>
      </w:r>
      <w:r w:rsidRPr="00D80E01">
        <w:rPr>
          <w:lang w:val="en-CA"/>
        </w:rPr>
        <w:t xml:space="preserve"> (xi) risks associated to cannabis products manufactured</w:t>
      </w:r>
      <w:r w:rsidRPr="00D80E01">
        <w:rPr>
          <w:rFonts w:eastAsiaTheme="minorHAnsi"/>
          <w:lang w:val="en-CA"/>
        </w:rPr>
        <w:t xml:space="preserve"> </w:t>
      </w:r>
      <w:r w:rsidRPr="00D80E01">
        <w:rPr>
          <w:lang w:val="en-CA"/>
        </w:rPr>
        <w:t>for human consumption, including potential product recalls</w:t>
      </w:r>
      <w:r w:rsidRPr="00D80E01" w:rsidR="00F7756B">
        <w:rPr>
          <w:lang w:val="en-CA"/>
        </w:rPr>
        <w:t>;</w:t>
      </w:r>
      <w:r w:rsidRPr="00D80E01">
        <w:rPr>
          <w:lang w:val="en-CA"/>
        </w:rPr>
        <w:t xml:space="preserve"> (xii) risks related to the economy</w:t>
      </w:r>
      <w:r w:rsidRPr="00D80E01">
        <w:rPr>
          <w:rFonts w:eastAsiaTheme="minorHAnsi"/>
          <w:lang w:val="en-CA"/>
        </w:rPr>
        <w:t xml:space="preserve"> </w:t>
      </w:r>
      <w:r w:rsidRPr="00D80E01">
        <w:rPr>
          <w:lang w:val="en-CA"/>
        </w:rPr>
        <w:t>generally</w:t>
      </w:r>
      <w:r w:rsidRPr="00D80E01" w:rsidR="00F7756B">
        <w:rPr>
          <w:lang w:val="en-CA"/>
        </w:rPr>
        <w:t>;</w:t>
      </w:r>
      <w:r w:rsidRPr="00D80E01">
        <w:rPr>
          <w:lang w:val="en-CA"/>
        </w:rPr>
        <w:t xml:space="preserve"> and (xiii) risk of litigation.</w:t>
      </w:r>
    </w:p>
    <w:p w:rsidRPr="00D80E01" w:rsidR="00EE1038" w:rsidP="0012502C" w:rsidRDefault="00EE1038" w14:paraId="60EF8882" w14:textId="24D77096">
      <w:pPr>
        <w:pStyle w:val="BodyText"/>
        <w:rPr>
          <w:lang w:val="en-CA"/>
        </w:rPr>
      </w:pPr>
      <w:r w:rsidRPr="00D80E01">
        <w:rPr>
          <w:lang w:val="en-CA"/>
        </w:rPr>
        <w:t xml:space="preserve">The forward-looking information contained in </w:t>
      </w:r>
      <w:r w:rsidRPr="00D80E01" w:rsidR="00802999">
        <w:rPr>
          <w:lang w:val="en-CA"/>
        </w:rPr>
        <w:t xml:space="preserve">this </w:t>
      </w:r>
      <w:r w:rsidRPr="00D80E01" w:rsidR="00DF2774">
        <w:rPr>
          <w:lang w:val="en-CA"/>
        </w:rPr>
        <w:t>Offering Document</w:t>
      </w:r>
      <w:r w:rsidRPr="00D80E01" w:rsidR="00802999">
        <w:rPr>
          <w:lang w:val="en-CA"/>
        </w:rPr>
        <w:t xml:space="preserve"> </w:t>
      </w:r>
      <w:r w:rsidRPr="00D80E01">
        <w:rPr>
          <w:lang w:val="en-CA"/>
        </w:rPr>
        <w:t>is made as of the date hereof</w:t>
      </w:r>
      <w:r w:rsidRPr="00D80E01">
        <w:rPr>
          <w:rFonts w:eastAsiaTheme="minorHAnsi"/>
          <w:lang w:val="en-CA"/>
        </w:rPr>
        <w:t xml:space="preserve"> </w:t>
      </w:r>
      <w:r w:rsidRPr="00D80E01">
        <w:rPr>
          <w:lang w:val="en-CA"/>
        </w:rPr>
        <w:t>and the Company is not obligated to, and does not undertake to, update or revise any forward-looking information, whether as a result of new information, future events or otherwise, except</w:t>
      </w:r>
      <w:r w:rsidRPr="00D80E01">
        <w:rPr>
          <w:rFonts w:eastAsiaTheme="minorHAnsi"/>
          <w:lang w:val="en-CA"/>
        </w:rPr>
        <w:t xml:space="preserve"> </w:t>
      </w:r>
      <w:r w:rsidRPr="00D80E01">
        <w:rPr>
          <w:lang w:val="en-CA"/>
        </w:rPr>
        <w:t>as required by applicable securities laws. Because of the risks, uncertainties and assumptions</w:t>
      </w:r>
      <w:r w:rsidRPr="00D80E01">
        <w:rPr>
          <w:rFonts w:eastAsiaTheme="minorHAnsi"/>
          <w:lang w:val="en-CA"/>
        </w:rPr>
        <w:t xml:space="preserve"> </w:t>
      </w:r>
      <w:r w:rsidRPr="00D80E01">
        <w:rPr>
          <w:lang w:val="en-CA"/>
        </w:rPr>
        <w:t>inherent in forward-looking information, investors should not place undue reliance on forward</w:t>
      </w:r>
      <w:r w:rsidRPr="00D80E01">
        <w:rPr>
          <w:rFonts w:eastAsiaTheme="minorHAnsi"/>
          <w:lang w:val="en-CA"/>
        </w:rPr>
        <w:t xml:space="preserve"> </w:t>
      </w:r>
      <w:r w:rsidRPr="00D80E01">
        <w:rPr>
          <w:lang w:val="en-CA"/>
        </w:rPr>
        <w:t>looking information. The foregoing statements expressly qualify any forward-looking</w:t>
      </w:r>
      <w:r w:rsidRPr="00D80E01">
        <w:rPr>
          <w:rFonts w:eastAsiaTheme="minorHAnsi"/>
          <w:lang w:val="en-CA"/>
        </w:rPr>
        <w:t xml:space="preserve"> </w:t>
      </w:r>
      <w:r w:rsidRPr="00D80E01">
        <w:rPr>
          <w:lang w:val="en-CA"/>
        </w:rPr>
        <w:t>information contained herein.</w:t>
      </w:r>
    </w:p>
    <w:p w:rsidRPr="00D80E01" w:rsidR="00DF2774" w:rsidP="00DF2774" w:rsidRDefault="00DF2774" w14:paraId="27533879" w14:textId="10263713">
      <w:pPr>
        <w:pStyle w:val="BodyText"/>
        <w:rPr>
          <w:rFonts w:eastAsiaTheme="minorHAnsi"/>
          <w:lang w:val="en-CA"/>
        </w:rPr>
      </w:pPr>
      <w:r w:rsidRPr="00D80E01">
        <w:rPr>
          <w:rFonts w:eastAsiaTheme="minorHAnsi"/>
          <w:lang w:val="en-CA"/>
        </w:rPr>
        <w:t xml:space="preserve">This </w:t>
      </w:r>
      <w:r w:rsidRPr="00D80E01" w:rsidR="00FE633A">
        <w:rPr>
          <w:rFonts w:eastAsiaTheme="minorHAnsi"/>
          <w:lang w:val="en-CA"/>
        </w:rPr>
        <w:t>Offering Document</w:t>
      </w:r>
      <w:r w:rsidRPr="00D80E01">
        <w:rPr>
          <w:rFonts w:eastAsiaTheme="minorHAnsi"/>
          <w:lang w:val="en-CA"/>
        </w:rPr>
        <w:t xml:space="preserve"> contains future-oriented financial information and financial outlook information (collectively, "</w:t>
      </w:r>
      <w:r w:rsidRPr="00D80E01">
        <w:rPr>
          <w:rFonts w:eastAsiaTheme="minorHAnsi"/>
          <w:b/>
          <w:bCs/>
          <w:lang w:val="en-CA"/>
        </w:rPr>
        <w:t>FOFI</w:t>
      </w:r>
      <w:r w:rsidRPr="00D80E01">
        <w:rPr>
          <w:rFonts w:eastAsiaTheme="minorHAnsi"/>
          <w:lang w:val="en-CA"/>
        </w:rPr>
        <w:t xml:space="preserve">") about the Company's prospective results of operations, which are subject to the same assumptions, risk factors, limitations, and qualifications as set out in the above paragraph. FOFI contained in this </w:t>
      </w:r>
      <w:r w:rsidRPr="00D80E01" w:rsidR="00FE633A">
        <w:rPr>
          <w:rFonts w:eastAsiaTheme="minorHAnsi"/>
          <w:lang w:val="en-CA"/>
        </w:rPr>
        <w:t>Offering Document</w:t>
      </w:r>
      <w:r w:rsidRPr="00D80E01">
        <w:rPr>
          <w:rFonts w:eastAsiaTheme="minorHAnsi"/>
          <w:lang w:val="en-CA"/>
        </w:rPr>
        <w:t xml:space="preserve"> was approved by management as of the date of this </w:t>
      </w:r>
      <w:r w:rsidRPr="00D80E01" w:rsidR="00FE633A">
        <w:rPr>
          <w:rFonts w:eastAsiaTheme="minorHAnsi"/>
          <w:lang w:val="en-CA"/>
        </w:rPr>
        <w:t>Offering Document</w:t>
      </w:r>
      <w:r w:rsidRPr="00D80E01">
        <w:rPr>
          <w:rFonts w:eastAsiaTheme="minorHAnsi"/>
          <w:lang w:val="en-CA"/>
        </w:rPr>
        <w:t xml:space="preserve"> and was provided for the purpose of providing further information about the Company's future business operations. The Company disclaims any intention or obligation to update or revise any FOFI contained in this </w:t>
      </w:r>
      <w:r w:rsidRPr="00D80E01" w:rsidR="00FE633A">
        <w:rPr>
          <w:rFonts w:eastAsiaTheme="minorHAnsi"/>
          <w:lang w:val="en-CA"/>
        </w:rPr>
        <w:t>Offering Document</w:t>
      </w:r>
      <w:r w:rsidRPr="00D80E01">
        <w:rPr>
          <w:rFonts w:eastAsiaTheme="minorHAnsi"/>
          <w:lang w:val="en-CA"/>
        </w:rPr>
        <w:t>, whether as a result of new information, future events or otherwise, unless required pursuant to applicable law. Readers are cautioned that the FOFI contained in this document should not be used for purposes other than for which it is disclosed herein.</w:t>
      </w:r>
    </w:p>
    <w:p w:rsidRPr="00D80E01" w:rsidR="00DF2774" w:rsidP="00DF2774" w:rsidRDefault="00DF2774" w14:paraId="2588FFDD" w14:textId="2D7B7686">
      <w:pPr>
        <w:pStyle w:val="BodyText"/>
        <w:rPr>
          <w:rFonts w:eastAsiaTheme="minorHAnsi"/>
          <w:lang w:val="en-CA"/>
        </w:rPr>
      </w:pPr>
      <w:r w:rsidRPr="00D80E01">
        <w:rPr>
          <w:rFonts w:eastAsiaTheme="minorHAnsi"/>
          <w:lang w:val="en-CA"/>
        </w:rPr>
        <w:t xml:space="preserve">This </w:t>
      </w:r>
      <w:r w:rsidRPr="00D80E01" w:rsidR="00FE633A">
        <w:rPr>
          <w:rFonts w:eastAsiaTheme="minorHAnsi"/>
          <w:lang w:val="en-CA"/>
        </w:rPr>
        <w:t>Offering Document</w:t>
      </w:r>
      <w:r w:rsidRPr="00D80E01">
        <w:rPr>
          <w:rFonts w:eastAsiaTheme="minorHAnsi"/>
          <w:lang w:val="en-CA"/>
        </w:rPr>
        <w:t xml:space="preserve"> makes reference to certain non-IFRS measures. These measures are not recognized measures under IFRS, do not have a standardized meaning prescribed by IFRS, and are therefore unlikely to be comparable to similar measures presented by other companies. Rather, these measures are provided as additional information to complement those IFRS measures by providing further understanding of our results of operations from management's perspective. Accordingly, these measures should not be considered in isolation nor as a substitute for analysis of our financial information reported under IFRS. </w:t>
      </w:r>
    </w:p>
    <w:p w:rsidRPr="00D80E01" w:rsidR="00DF2774" w:rsidP="00DF2774" w:rsidRDefault="00DF2774" w14:paraId="27F78A0C" w14:textId="3AE6F0A0">
      <w:pPr>
        <w:pStyle w:val="BodyText"/>
        <w:rPr>
          <w:rFonts w:eastAsiaTheme="minorHAnsi"/>
          <w:lang w:val="en-CA"/>
        </w:rPr>
      </w:pPr>
      <w:r w:rsidRPr="00D80E01">
        <w:rPr>
          <w:rFonts w:eastAsiaTheme="minorHAnsi"/>
          <w:lang w:val="en-CA"/>
        </w:rPr>
        <w:t xml:space="preserve">The non-IFRS measure used in this </w:t>
      </w:r>
      <w:r w:rsidRPr="00D80E01" w:rsidR="00FE633A">
        <w:rPr>
          <w:rFonts w:eastAsiaTheme="minorHAnsi"/>
          <w:lang w:val="en-CA"/>
        </w:rPr>
        <w:t>Offering Document</w:t>
      </w:r>
      <w:r w:rsidRPr="00D80E01">
        <w:rPr>
          <w:rFonts w:eastAsiaTheme="minorHAnsi"/>
          <w:lang w:val="en-CA"/>
        </w:rPr>
        <w:t xml:space="preserve"> includes "EBITDA". The Company calculates EBITDA as net income (loss) before interest, taxes, depreciation and amortization. EBITDA is provided to assist readers in determining the ability of the Company to generate cash from operations and to cover financial charges. Management believes that EBITDA provides useful information to investors as it is an important indicator of an issuer's ability to generate liquidity through cash flow from operating activities and equity accounted investees. EBITDA is also used by investors and analysts for assessing financial performance and for the purpose of valuing an issuer, including calculating financial and leverage ratios. The most directly comparable financial measure that is disclosed in the financial statements of the Company to which the non-IFRS measure relates is net income (loss).</w:t>
      </w:r>
    </w:p>
    <w:p w:rsidRPr="00D80E01" w:rsidR="00EF55F2" w:rsidP="00EF55F2" w:rsidRDefault="00EF55F2" w14:paraId="476F4D39" w14:textId="21933F2F">
      <w:pPr>
        <w:pStyle w:val="StandardL1"/>
        <w:rPr>
          <w:rFonts w:eastAsiaTheme="minorHAnsi"/>
          <w:lang w:val="en-CA"/>
        </w:rPr>
      </w:pPr>
      <w:r w:rsidRPr="00D80E01">
        <w:rPr>
          <w:rFonts w:eastAsiaTheme="minorHAnsi"/>
          <w:lang w:val="en-CA"/>
        </w:rPr>
        <w:t>SUMMARY description of business</w:t>
      </w:r>
    </w:p>
    <w:p w:rsidRPr="00D80E01" w:rsidR="00EF55F2" w:rsidP="00EF55F2" w:rsidRDefault="00EF55F2" w14:paraId="13F2518F" w14:textId="2B54EA48">
      <w:pPr>
        <w:pStyle w:val="StandardL2"/>
        <w:rPr>
          <w:lang w:val="en-CA"/>
        </w:rPr>
      </w:pPr>
      <w:r w:rsidRPr="00D80E01">
        <w:rPr>
          <w:lang w:val="en-CA"/>
        </w:rPr>
        <w:t>What is our business?</w:t>
      </w:r>
    </w:p>
    <w:p w:rsidRPr="00D80E01" w:rsidR="002E2B7A" w:rsidP="002E2B7A" w:rsidRDefault="002E2B7A" w14:paraId="551D2042" w14:textId="2B604672">
      <w:pPr>
        <w:pStyle w:val="BodyText"/>
        <w:rPr>
          <w:lang w:val="en-CA"/>
        </w:rPr>
      </w:pPr>
      <w:r w:rsidRPr="00D80E01">
        <w:rPr>
          <w:lang w:val="en-CA"/>
        </w:rPr>
        <w:t>The Company, via its indirect wholly</w:t>
      </w:r>
      <w:r w:rsidRPr="00D80E01" w:rsidR="006B0047">
        <w:rPr>
          <w:lang w:val="en-CA"/>
        </w:rPr>
        <w:t>-</w:t>
      </w:r>
      <w:r w:rsidRPr="00D80E01">
        <w:rPr>
          <w:lang w:val="en-CA"/>
        </w:rPr>
        <w:t>owned subsidiary, Indiva Inc., is a Canadian producer of cannabis servicing the recreational and medical markets. The Company</w:t>
      </w:r>
      <w:r w:rsidRPr="00D80E01" w:rsidR="009A4F85">
        <w:rPr>
          <w:lang w:val="en-CA"/>
        </w:rPr>
        <w:t>'</w:t>
      </w:r>
      <w:r w:rsidRPr="00D80E01">
        <w:rPr>
          <w:lang w:val="en-CA"/>
        </w:rPr>
        <w:t xml:space="preserve">s business objective is to produce and sell cannabis products, including extract and edible products. </w:t>
      </w:r>
      <w:r w:rsidRPr="00D80E01" w:rsidR="009E266D">
        <w:rPr>
          <w:lang w:val="en-CA"/>
        </w:rPr>
        <w:t>T</w:t>
      </w:r>
      <w:r w:rsidRPr="00D80E01">
        <w:rPr>
          <w:lang w:val="en-CA"/>
        </w:rPr>
        <w:t>he Company does not grow cannabis on-site, but rather focuses on the Company</w:t>
      </w:r>
      <w:r w:rsidRPr="00D80E01" w:rsidR="009A4F85">
        <w:rPr>
          <w:lang w:val="en-CA"/>
        </w:rPr>
        <w:t>'</w:t>
      </w:r>
      <w:r w:rsidRPr="00D80E01">
        <w:rPr>
          <w:lang w:val="en-CA"/>
        </w:rPr>
        <w:t xml:space="preserve">s core competencies, being the production and processing of edible and extract cannabis products as well as packaging of edibles and extracts. </w:t>
      </w:r>
    </w:p>
    <w:p w:rsidRPr="00D80E01" w:rsidR="004002C9" w:rsidP="002E2B7A" w:rsidRDefault="002E2B7A" w14:paraId="2A633D79" w14:textId="6845CDDF">
      <w:pPr>
        <w:pStyle w:val="BodyText"/>
        <w:rPr>
          <w:lang w:val="en-CA"/>
        </w:rPr>
      </w:pPr>
      <w:r w:rsidRPr="00D80E01">
        <w:rPr>
          <w:lang w:val="en-CA"/>
        </w:rPr>
        <w:lastRenderedPageBreak/>
        <w:t xml:space="preserve">The Company currently sells the majority of its cannabis products to consumers in the recreational market in the provinces of Ontario, British Columbia, Alberta, Nova Scotia, Saskatchewan, Manitoba, New Brunswick, Prince Edward Island, Newfoundland, the Yukon, Northwest Territories, and Nunavut. The Company sells its cannabis products on a wholesale basis to other licensed producers of marijuana under the </w:t>
      </w:r>
      <w:r w:rsidRPr="00D80E01">
        <w:rPr>
          <w:i/>
          <w:iCs/>
          <w:lang w:val="en-CA"/>
        </w:rPr>
        <w:t>Cannabis Act</w:t>
      </w:r>
      <w:r w:rsidRPr="00D80E01">
        <w:rPr>
          <w:lang w:val="en-CA"/>
        </w:rPr>
        <w:t xml:space="preserve"> (Canada) and the Cannabis Regulations for sale into medical channels.</w:t>
      </w:r>
    </w:p>
    <w:p w:rsidRPr="00D80E01" w:rsidR="00EF55F2" w:rsidP="00EF55F2" w:rsidRDefault="00EF55F2" w14:paraId="742A1FC3" w14:textId="26C8C774">
      <w:pPr>
        <w:pStyle w:val="StandardL2"/>
        <w:rPr>
          <w:lang w:val="en-CA"/>
        </w:rPr>
      </w:pPr>
      <w:r w:rsidRPr="00D80E01">
        <w:rPr>
          <w:lang w:val="en-CA"/>
        </w:rPr>
        <w:t>Recent developments</w:t>
      </w:r>
    </w:p>
    <w:p w:rsidR="00C4621E" w:rsidP="00227DC7" w:rsidRDefault="00C4621E" w14:paraId="34A52CB8" w14:textId="2F09848C">
      <w:pPr>
        <w:spacing w:after="240"/>
        <w:rPr>
          <w:lang w:val="en-CA"/>
        </w:rPr>
      </w:pPr>
      <w:r>
        <w:rPr>
          <w:lang w:val="en-CA"/>
        </w:rPr>
        <w:t>On March 4</w:t>
      </w:r>
      <w:r w:rsidRPr="00C4621E">
        <w:rPr>
          <w:lang w:val="en-CA"/>
        </w:rPr>
        <w:t xml:space="preserve">, 2024, the Company </w:t>
      </w:r>
      <w:r>
        <w:rPr>
          <w:lang w:val="en-CA"/>
        </w:rPr>
        <w:t xml:space="preserve">announced the closing of </w:t>
      </w:r>
      <w:r w:rsidRPr="00C4621E">
        <w:rPr>
          <w:lang w:val="en-CA"/>
        </w:rPr>
        <w:t>the first and final tranche of its previous private placement offering pursuant to the listed issuer financing exemption, first announced on January 22, 2024, and then amended and restated on February 28, 2024 (the "</w:t>
      </w:r>
      <w:r w:rsidRPr="00C4621E">
        <w:rPr>
          <w:b/>
          <w:bCs/>
          <w:lang w:val="en-CA"/>
        </w:rPr>
        <w:t>First Offering</w:t>
      </w:r>
      <w:r w:rsidRPr="00C4621E">
        <w:rPr>
          <w:lang w:val="en-CA"/>
        </w:rPr>
        <w:t>")</w:t>
      </w:r>
      <w:r>
        <w:rPr>
          <w:lang w:val="en-CA"/>
        </w:rPr>
        <w:t xml:space="preserve">, pursuant to which the Company </w:t>
      </w:r>
      <w:r w:rsidRPr="00C4621E">
        <w:rPr>
          <w:lang w:val="en-CA"/>
        </w:rPr>
        <w:t xml:space="preserve">issued 9,060,000 units of the Company for aggregate gross proceeds </w:t>
      </w:r>
      <w:r>
        <w:rPr>
          <w:lang w:val="en-CA"/>
        </w:rPr>
        <w:t xml:space="preserve">to the Company </w:t>
      </w:r>
      <w:r w:rsidRPr="00C4621E">
        <w:rPr>
          <w:lang w:val="en-CA"/>
        </w:rPr>
        <w:t>of $906,000.</w:t>
      </w:r>
    </w:p>
    <w:p w:rsidR="00DC338B" w:rsidP="00227DC7" w:rsidRDefault="00DC338B" w14:paraId="63F670E7" w14:textId="31A5DFBD">
      <w:pPr>
        <w:spacing w:after="240"/>
        <w:rPr>
          <w:lang w:val="en-CA"/>
        </w:rPr>
      </w:pPr>
      <w:r w:rsidRPr="00D80E01">
        <w:rPr>
          <w:lang w:val="en-CA"/>
        </w:rPr>
        <w:t xml:space="preserve">On </w:t>
      </w:r>
      <w:r w:rsidR="00227DC7">
        <w:rPr>
          <w:lang w:val="en-CA"/>
        </w:rPr>
        <w:t>February</w:t>
      </w:r>
      <w:r w:rsidRPr="00D80E01">
        <w:rPr>
          <w:lang w:val="en-CA"/>
        </w:rPr>
        <w:t xml:space="preserve"> </w:t>
      </w:r>
      <w:r w:rsidR="00227DC7">
        <w:rPr>
          <w:lang w:val="en-CA"/>
        </w:rPr>
        <w:t>28</w:t>
      </w:r>
      <w:r w:rsidRPr="00D80E01">
        <w:rPr>
          <w:lang w:val="en-CA"/>
        </w:rPr>
        <w:t>, 2024, the Company announced</w:t>
      </w:r>
      <w:r w:rsidR="00227DC7">
        <w:rPr>
          <w:lang w:val="en-CA"/>
        </w:rPr>
        <w:t xml:space="preserve"> the filing of an amended and restated offering document </w:t>
      </w:r>
      <w:r w:rsidRPr="00227DC7" w:rsidR="00227DC7">
        <w:rPr>
          <w:lang w:val="en-CA"/>
        </w:rPr>
        <w:t xml:space="preserve">in connection with </w:t>
      </w:r>
      <w:r w:rsidR="00C4621E">
        <w:rPr>
          <w:lang w:val="en-CA"/>
        </w:rPr>
        <w:t>the First Offering</w:t>
      </w:r>
      <w:r w:rsidR="00227DC7">
        <w:rPr>
          <w:lang w:val="en-CA"/>
        </w:rPr>
        <w:t xml:space="preserve">, consisting of </w:t>
      </w:r>
      <w:r w:rsidRPr="00227DC7" w:rsidR="00227DC7">
        <w:rPr>
          <w:lang w:val="en-CA"/>
        </w:rPr>
        <w:t>up to 40,000,000 units of the Company for aggregate gross proceeds to the Company of up to $4,000,000.</w:t>
      </w:r>
    </w:p>
    <w:p w:rsidR="00227DC7" w:rsidP="00227DC7" w:rsidRDefault="00DC338B" w14:paraId="3BAA0E48" w14:textId="4534F20E">
      <w:pPr>
        <w:spacing w:after="240"/>
        <w:rPr>
          <w:lang w:val="en-CA"/>
        </w:rPr>
      </w:pPr>
      <w:r w:rsidRPr="00D80E01">
        <w:rPr>
          <w:lang w:val="en-CA"/>
        </w:rPr>
        <w:t xml:space="preserve">On January </w:t>
      </w:r>
      <w:r w:rsidR="00227DC7">
        <w:rPr>
          <w:lang w:val="en-CA"/>
        </w:rPr>
        <w:t>22</w:t>
      </w:r>
      <w:r w:rsidRPr="00D80E01">
        <w:rPr>
          <w:lang w:val="en-CA"/>
        </w:rPr>
        <w:t>, 2024, the Company announced</w:t>
      </w:r>
      <w:r w:rsidR="00227DC7">
        <w:rPr>
          <w:lang w:val="en-CA"/>
        </w:rPr>
        <w:t xml:space="preserve"> </w:t>
      </w:r>
      <w:r w:rsidR="00C4621E">
        <w:rPr>
          <w:lang w:val="en-CA"/>
        </w:rPr>
        <w:t>the First Offering consisting</w:t>
      </w:r>
      <w:r w:rsidRPr="00227DC7" w:rsidR="00227DC7">
        <w:rPr>
          <w:lang w:val="en-CA"/>
        </w:rPr>
        <w:t xml:space="preserve"> of a minimum of 20,000,000 units of the Company and a maximum of 40,000,000 </w:t>
      </w:r>
      <w:r w:rsidR="00227DC7">
        <w:rPr>
          <w:lang w:val="en-CA"/>
        </w:rPr>
        <w:t>u</w:t>
      </w:r>
      <w:r w:rsidRPr="00227DC7" w:rsidR="00227DC7">
        <w:rPr>
          <w:lang w:val="en-CA"/>
        </w:rPr>
        <w:t>nits, for minimum gross proceeds</w:t>
      </w:r>
      <w:r w:rsidR="00C4621E">
        <w:rPr>
          <w:lang w:val="en-CA"/>
        </w:rPr>
        <w:t xml:space="preserve"> to the Company</w:t>
      </w:r>
      <w:r w:rsidRPr="00227DC7" w:rsidR="00227DC7">
        <w:rPr>
          <w:lang w:val="en-CA"/>
        </w:rPr>
        <w:t xml:space="preserve"> of $2,000,000 and maximum</w:t>
      </w:r>
      <w:r w:rsidR="00227DC7">
        <w:rPr>
          <w:lang w:val="en-CA"/>
        </w:rPr>
        <w:t xml:space="preserve"> </w:t>
      </w:r>
      <w:r w:rsidRPr="00227DC7" w:rsidR="00227DC7">
        <w:rPr>
          <w:lang w:val="en-CA"/>
        </w:rPr>
        <w:t>gross proceeds</w:t>
      </w:r>
      <w:r w:rsidR="00C4621E">
        <w:rPr>
          <w:lang w:val="en-CA"/>
        </w:rPr>
        <w:t xml:space="preserve"> to the Company </w:t>
      </w:r>
      <w:r w:rsidRPr="00227DC7" w:rsidR="00227DC7">
        <w:rPr>
          <w:lang w:val="en-CA"/>
        </w:rPr>
        <w:t>of $4,000,000.</w:t>
      </w:r>
    </w:p>
    <w:p w:rsidRPr="00D80E01" w:rsidR="00585C84" w:rsidP="00D0114D" w:rsidRDefault="00585C84" w14:paraId="25046F21" w14:textId="722F2D9D">
      <w:pPr>
        <w:spacing w:after="240"/>
        <w:rPr>
          <w:lang w:val="en-CA"/>
        </w:rPr>
      </w:pPr>
      <w:r w:rsidRPr="00D80E01">
        <w:rPr>
          <w:lang w:val="en-CA"/>
        </w:rPr>
        <w:t xml:space="preserve">On January 4, 2024, the Company announced improved quarterly guidance in the fourth financial quarter of 2023, noting that the continued strength in the Pearls by </w:t>
      </w:r>
      <w:proofErr w:type="spellStart"/>
      <w:r w:rsidRPr="00D80E01">
        <w:rPr>
          <w:lang w:val="en-CA"/>
        </w:rPr>
        <w:t>Grön</w:t>
      </w:r>
      <w:proofErr w:type="spellEnd"/>
      <w:r w:rsidRPr="00D80E01">
        <w:rPr>
          <w:lang w:val="en-CA"/>
        </w:rPr>
        <w:t xml:space="preserve"> and No Future brands of the </w:t>
      </w:r>
      <w:r w:rsidRPr="00D80E01" w:rsidR="00A01E11">
        <w:rPr>
          <w:lang w:val="en-CA"/>
        </w:rPr>
        <w:t>C</w:t>
      </w:r>
      <w:r w:rsidRPr="00D80E01">
        <w:rPr>
          <w:lang w:val="en-CA"/>
        </w:rPr>
        <w:t>ompany has resulted in fourth quarter 2023 net revenue results, which are set to exceed the initial expectations and guidance provided in the Company's third quarter results news release, dated November 21, 2023. The Company announced</w:t>
      </w:r>
      <w:r w:rsidRPr="00D80E01" w:rsidR="00D0114D">
        <w:rPr>
          <w:lang w:val="en-CA"/>
        </w:rPr>
        <w:t xml:space="preserve"> it achieved record EBITDA and positive income from operations in the Company's third fiscal quarter of 2023 for the first time in its history and announced </w:t>
      </w:r>
      <w:r w:rsidRPr="00D80E01">
        <w:rPr>
          <w:lang w:val="en-CA"/>
        </w:rPr>
        <w:t xml:space="preserve">its revised expectation </w:t>
      </w:r>
      <w:r w:rsidRPr="00D80E01" w:rsidR="00D0114D">
        <w:rPr>
          <w:lang w:val="en-CA"/>
        </w:rPr>
        <w:t>of</w:t>
      </w:r>
      <w:r w:rsidRPr="00D80E01">
        <w:rPr>
          <w:lang w:val="en-CA"/>
        </w:rPr>
        <w:t xml:space="preserve"> aggregate Q4 2023 net revenue improv</w:t>
      </w:r>
      <w:r w:rsidRPr="00D80E01" w:rsidR="00D0114D">
        <w:rPr>
          <w:lang w:val="en-CA"/>
        </w:rPr>
        <w:t>ing</w:t>
      </w:r>
      <w:r w:rsidRPr="00D80E01">
        <w:rPr>
          <w:lang w:val="en-CA"/>
        </w:rPr>
        <w:t xml:space="preserve"> both sequentially, and year-over-year, to a new quarterly record, exceeding $10 million in net revenue for the three-month period ended December 31, 2023. </w:t>
      </w:r>
    </w:p>
    <w:p w:rsidRPr="00D80E01" w:rsidR="00895B18" w:rsidP="00895B18" w:rsidRDefault="00895B18" w14:paraId="70C9A9AD" w14:textId="68C9C1D4">
      <w:pPr>
        <w:pStyle w:val="BodyText"/>
        <w:rPr>
          <w:rFonts w:eastAsiaTheme="minorHAnsi"/>
          <w:lang w:val="en-CA"/>
        </w:rPr>
      </w:pPr>
      <w:r w:rsidRPr="00D80E01">
        <w:rPr>
          <w:rFonts w:eastAsiaTheme="minorHAnsi"/>
          <w:lang w:val="en-CA"/>
        </w:rPr>
        <w:t xml:space="preserve">On August 29, 2023, the Company announced the amendment of the terms of its existing non-revolving term loan facility (the </w:t>
      </w:r>
      <w:r w:rsidRPr="00D80E01" w:rsidR="009A4F85">
        <w:rPr>
          <w:rFonts w:eastAsiaTheme="minorHAnsi"/>
          <w:lang w:val="en-CA"/>
        </w:rPr>
        <w:t>"</w:t>
      </w:r>
      <w:r w:rsidRPr="00D80E01">
        <w:rPr>
          <w:rFonts w:eastAsiaTheme="minorHAnsi"/>
          <w:b/>
          <w:lang w:val="en-CA"/>
        </w:rPr>
        <w:t>Amended Term Loan</w:t>
      </w:r>
      <w:r w:rsidRPr="00D80E01" w:rsidR="009A4F85">
        <w:rPr>
          <w:rFonts w:eastAsiaTheme="minorHAnsi"/>
          <w:lang w:val="en-CA"/>
        </w:rPr>
        <w:t>"</w:t>
      </w:r>
      <w:r w:rsidRPr="00D80E01">
        <w:rPr>
          <w:rFonts w:eastAsiaTheme="minorHAnsi"/>
          <w:lang w:val="en-CA"/>
        </w:rPr>
        <w:t>) with SNDL Inc. (</w:t>
      </w:r>
      <w:r w:rsidRPr="00D80E01" w:rsidR="009A4F85">
        <w:rPr>
          <w:rFonts w:eastAsiaTheme="minorHAnsi"/>
          <w:lang w:val="en-CA"/>
        </w:rPr>
        <w:t>"</w:t>
      </w:r>
      <w:r w:rsidRPr="00D80E01">
        <w:rPr>
          <w:rFonts w:eastAsiaTheme="minorHAnsi"/>
          <w:b/>
          <w:lang w:val="en-CA"/>
        </w:rPr>
        <w:t>SNDL</w:t>
      </w:r>
      <w:r w:rsidRPr="00D80E01" w:rsidR="009A4F85">
        <w:rPr>
          <w:rFonts w:eastAsiaTheme="minorHAnsi"/>
          <w:lang w:val="en-CA"/>
        </w:rPr>
        <w:t>"</w:t>
      </w:r>
      <w:r w:rsidRPr="00D80E01">
        <w:rPr>
          <w:rFonts w:eastAsiaTheme="minorHAnsi"/>
          <w:lang w:val="en-CA"/>
        </w:rPr>
        <w:t xml:space="preserve">), and the entering </w:t>
      </w:r>
      <w:r w:rsidRPr="00D80E01" w:rsidR="002378C5">
        <w:rPr>
          <w:rFonts w:eastAsiaTheme="minorHAnsi"/>
          <w:lang w:val="en-CA"/>
        </w:rPr>
        <w:t xml:space="preserve">into </w:t>
      </w:r>
      <w:r w:rsidRPr="00D80E01">
        <w:rPr>
          <w:rFonts w:eastAsiaTheme="minorHAnsi"/>
          <w:lang w:val="en-CA"/>
        </w:rPr>
        <w:t xml:space="preserve">of a supply agreement with SNDL (the </w:t>
      </w:r>
      <w:r w:rsidRPr="00D80E01" w:rsidR="009A4F85">
        <w:rPr>
          <w:rFonts w:eastAsiaTheme="minorHAnsi"/>
          <w:lang w:val="en-CA"/>
        </w:rPr>
        <w:t>"</w:t>
      </w:r>
      <w:r w:rsidRPr="00D80E01">
        <w:rPr>
          <w:rFonts w:eastAsiaTheme="minorHAnsi"/>
          <w:b/>
          <w:lang w:val="en-CA"/>
        </w:rPr>
        <w:t>Supply Agreement</w:t>
      </w:r>
      <w:r w:rsidRPr="00D80E01" w:rsidR="009A4F85">
        <w:rPr>
          <w:rFonts w:eastAsiaTheme="minorHAnsi"/>
          <w:lang w:val="en-CA"/>
        </w:rPr>
        <w:t>"</w:t>
      </w:r>
      <w:r w:rsidRPr="00D80E01">
        <w:rPr>
          <w:rFonts w:eastAsiaTheme="minorHAnsi"/>
          <w:lang w:val="en-CA"/>
        </w:rPr>
        <w:t xml:space="preserve">) whereby SNDL will supply the Company with certain distillate products on an exclusive basis. The Supply Agreement provides for minimum monthly purchase commitments by the Company (the </w:t>
      </w:r>
      <w:r w:rsidRPr="00D80E01" w:rsidR="009A4F85">
        <w:rPr>
          <w:rFonts w:eastAsiaTheme="minorHAnsi"/>
          <w:lang w:val="en-CA"/>
        </w:rPr>
        <w:t>"</w:t>
      </w:r>
      <w:r w:rsidRPr="00D80E01">
        <w:rPr>
          <w:rFonts w:eastAsiaTheme="minorHAnsi"/>
          <w:b/>
          <w:lang w:val="en-CA"/>
        </w:rPr>
        <w:t>Minimum Purchase Commitment</w:t>
      </w:r>
      <w:r w:rsidRPr="00D80E01" w:rsidR="009A4F85">
        <w:rPr>
          <w:rFonts w:eastAsiaTheme="minorHAnsi"/>
          <w:lang w:val="en-CA"/>
        </w:rPr>
        <w:t>"</w:t>
      </w:r>
      <w:r w:rsidRPr="00D80E01">
        <w:rPr>
          <w:rFonts w:eastAsiaTheme="minorHAnsi"/>
          <w:lang w:val="en-CA"/>
        </w:rPr>
        <w:t xml:space="preserve">). The prices of all products supplied under the Supply Agreement are subject to periodic adjustments depending on prevailing market pricing. The Supply Agreement has an initial term of thirty (30) months, which automatically renews for successive </w:t>
      </w:r>
      <w:r w:rsidRPr="00D80E01" w:rsidR="00FB539D">
        <w:rPr>
          <w:rFonts w:eastAsiaTheme="minorHAnsi"/>
          <w:lang w:val="en-CA"/>
        </w:rPr>
        <w:t>twelve</w:t>
      </w:r>
      <w:r w:rsidR="00360E9A">
        <w:rPr>
          <w:rFonts w:eastAsiaTheme="minorHAnsi"/>
          <w:lang w:val="en-CA"/>
        </w:rPr>
        <w:t xml:space="preserve"> </w:t>
      </w:r>
      <w:r w:rsidRPr="00D80E01" w:rsidR="00FB539D">
        <w:rPr>
          <w:rFonts w:eastAsiaTheme="minorHAnsi"/>
          <w:lang w:val="en-CA"/>
        </w:rPr>
        <w:t>month</w:t>
      </w:r>
      <w:r w:rsidRPr="00D80E01">
        <w:rPr>
          <w:rFonts w:eastAsiaTheme="minorHAnsi"/>
          <w:lang w:val="en-CA"/>
        </w:rPr>
        <w:t xml:space="preserve"> periods, unless earlier terminated. Provided that the aggregate </w:t>
      </w:r>
      <w:r w:rsidRPr="00D80E01" w:rsidR="00A01E11">
        <w:rPr>
          <w:rFonts w:eastAsiaTheme="minorHAnsi"/>
          <w:lang w:val="en-CA"/>
        </w:rPr>
        <w:t>M</w:t>
      </w:r>
      <w:r w:rsidRPr="00D80E01">
        <w:rPr>
          <w:rFonts w:eastAsiaTheme="minorHAnsi"/>
          <w:lang w:val="en-CA"/>
        </w:rPr>
        <w:t xml:space="preserve">inimum </w:t>
      </w:r>
      <w:r w:rsidRPr="00D80E01" w:rsidR="00A01E11">
        <w:rPr>
          <w:rFonts w:eastAsiaTheme="minorHAnsi"/>
          <w:lang w:val="en-CA"/>
        </w:rPr>
        <w:t>P</w:t>
      </w:r>
      <w:r w:rsidRPr="00D80E01">
        <w:rPr>
          <w:rFonts w:eastAsiaTheme="minorHAnsi"/>
          <w:lang w:val="en-CA"/>
        </w:rPr>
        <w:t xml:space="preserve">urchase </w:t>
      </w:r>
      <w:r w:rsidRPr="00D80E01" w:rsidR="00A01E11">
        <w:rPr>
          <w:rFonts w:eastAsiaTheme="minorHAnsi"/>
          <w:lang w:val="en-CA"/>
        </w:rPr>
        <w:t>C</w:t>
      </w:r>
      <w:r w:rsidRPr="00D80E01">
        <w:rPr>
          <w:rFonts w:eastAsiaTheme="minorHAnsi"/>
          <w:lang w:val="en-CA"/>
        </w:rPr>
        <w:t>ommitment has been met, the Supply Agreement will automatically terminate upon re-payment of the Amended Term Loan, unless the Company elects otherwise. The Amended Term Loan extended the maturity date to February 24, 2026 and extended the existing security interest in favour of SNDL under the Amended Term Loan to the Minimum Purchase Commitment. The interest rate and other terms of the Amended Term Loan remained the same except for the addition of an event of default, whereby a default under the Supply Agreement (which if not cured by the applicable time period set out in the Supply Agreement) would constitute an event of default under the Amended Term Loan.</w:t>
      </w:r>
    </w:p>
    <w:p w:rsidRPr="00D80E01" w:rsidR="00EF55F2" w:rsidP="008D7489" w:rsidRDefault="004B4106" w14:paraId="0F1163EB" w14:textId="41CF62A2">
      <w:pPr>
        <w:pStyle w:val="BodyText"/>
        <w:rPr>
          <w:rFonts w:eastAsiaTheme="minorHAnsi"/>
          <w:bCs/>
          <w:lang w:val="en-CA"/>
        </w:rPr>
      </w:pPr>
      <w:r w:rsidRPr="00D80E01">
        <w:rPr>
          <w:rFonts w:eastAsiaTheme="minorHAnsi"/>
          <w:bCs/>
          <w:lang w:val="en-CA"/>
        </w:rPr>
        <w:t xml:space="preserve">On August 10, 2023, the Company announced the introduction of its new value-focused cannabis brand </w:t>
      </w:r>
      <w:r w:rsidRPr="00D80E01" w:rsidR="009A4F85">
        <w:rPr>
          <w:rFonts w:eastAsiaTheme="minorHAnsi"/>
          <w:bCs/>
          <w:lang w:val="en-CA"/>
        </w:rPr>
        <w:t>"</w:t>
      </w:r>
      <w:r w:rsidRPr="00D80E01">
        <w:rPr>
          <w:rFonts w:eastAsiaTheme="minorHAnsi"/>
          <w:bCs/>
          <w:lang w:val="en-CA"/>
        </w:rPr>
        <w:t>No Future</w:t>
      </w:r>
      <w:r w:rsidRPr="00D80E01" w:rsidR="009A4F85">
        <w:rPr>
          <w:rFonts w:eastAsiaTheme="minorHAnsi"/>
          <w:bCs/>
          <w:lang w:val="en-CA"/>
        </w:rPr>
        <w:t>"</w:t>
      </w:r>
      <w:r w:rsidRPr="00D80E01">
        <w:rPr>
          <w:rFonts w:eastAsiaTheme="minorHAnsi"/>
          <w:bCs/>
          <w:lang w:val="en-CA"/>
        </w:rPr>
        <w:t>, which the Company had already begun shipping to British Columbia and Alberta</w:t>
      </w:r>
      <w:r w:rsidRPr="00D80E01" w:rsidR="007767CA">
        <w:rPr>
          <w:rFonts w:eastAsiaTheme="minorHAnsi"/>
          <w:bCs/>
          <w:lang w:val="en-CA"/>
        </w:rPr>
        <w:t>.</w:t>
      </w:r>
      <w:r w:rsidRPr="00D80E01" w:rsidR="001B6DFC">
        <w:rPr>
          <w:rFonts w:eastAsiaTheme="minorHAnsi"/>
          <w:bCs/>
          <w:lang w:val="en-CA"/>
        </w:rPr>
        <w:t xml:space="preserve"> As of the date hereof, the Company</w:t>
      </w:r>
      <w:r w:rsidRPr="00D80E01" w:rsidR="009A4F85">
        <w:rPr>
          <w:rFonts w:eastAsiaTheme="minorHAnsi"/>
          <w:bCs/>
          <w:lang w:val="en-CA"/>
        </w:rPr>
        <w:t>'</w:t>
      </w:r>
      <w:r w:rsidRPr="00D80E01" w:rsidR="001B6DFC">
        <w:rPr>
          <w:rFonts w:eastAsiaTheme="minorHAnsi"/>
          <w:bCs/>
          <w:lang w:val="en-CA"/>
        </w:rPr>
        <w:t xml:space="preserve">s </w:t>
      </w:r>
      <w:r w:rsidRPr="00D80E01" w:rsidR="009A4F85">
        <w:rPr>
          <w:rFonts w:eastAsiaTheme="minorHAnsi"/>
          <w:bCs/>
          <w:lang w:val="en-CA"/>
        </w:rPr>
        <w:t>"</w:t>
      </w:r>
      <w:r w:rsidRPr="00D80E01" w:rsidR="001B6DFC">
        <w:rPr>
          <w:rFonts w:eastAsiaTheme="minorHAnsi"/>
          <w:bCs/>
          <w:lang w:val="en-CA"/>
        </w:rPr>
        <w:t>No Future</w:t>
      </w:r>
      <w:r w:rsidRPr="00D80E01" w:rsidR="009A4F85">
        <w:rPr>
          <w:rFonts w:eastAsiaTheme="minorHAnsi"/>
          <w:bCs/>
          <w:lang w:val="en-CA"/>
        </w:rPr>
        <w:t>"</w:t>
      </w:r>
      <w:r w:rsidRPr="00D80E01" w:rsidR="001B6DFC">
        <w:rPr>
          <w:rFonts w:eastAsiaTheme="minorHAnsi"/>
          <w:bCs/>
          <w:lang w:val="en-CA"/>
        </w:rPr>
        <w:t xml:space="preserve"> products are listed for sale in Ontario, British Columbia, Alberta, Manitoba and Saskatchewan.</w:t>
      </w:r>
    </w:p>
    <w:p w:rsidRPr="00D80E01" w:rsidR="001B6DFC" w:rsidP="00303AB0" w:rsidRDefault="001A7AE1" w14:paraId="0884F068" w14:textId="6E459BB4">
      <w:pPr>
        <w:pStyle w:val="BodyText"/>
        <w:rPr>
          <w:rFonts w:eastAsiaTheme="minorHAnsi"/>
          <w:bCs/>
          <w:lang w:val="en-CA"/>
        </w:rPr>
      </w:pPr>
      <w:r w:rsidRPr="00D80E01">
        <w:rPr>
          <w:rFonts w:eastAsiaTheme="minorHAnsi"/>
          <w:bCs/>
          <w:lang w:val="en-CA"/>
        </w:rPr>
        <w:lastRenderedPageBreak/>
        <w:t>On June 16, 2023, the Company announced the closing of a $2,155,617 private placement for 37,230,000 Common Shares at a price per Common Share of $0.0579 by Tweed Inc.</w:t>
      </w:r>
      <w:r w:rsidRPr="00D80E01" w:rsidR="00D9581A">
        <w:rPr>
          <w:rFonts w:eastAsiaTheme="minorHAnsi"/>
          <w:bCs/>
          <w:lang w:val="en-CA"/>
        </w:rPr>
        <w:t xml:space="preserve"> (</w:t>
      </w:r>
      <w:r w:rsidRPr="00D80E01" w:rsidR="009A4F85">
        <w:rPr>
          <w:rFonts w:eastAsiaTheme="minorHAnsi"/>
          <w:bCs/>
          <w:lang w:val="en-CA"/>
        </w:rPr>
        <w:t>"</w:t>
      </w:r>
      <w:r w:rsidRPr="00D80E01" w:rsidR="00D9581A">
        <w:rPr>
          <w:rFonts w:eastAsiaTheme="minorHAnsi"/>
          <w:b/>
          <w:lang w:val="en-CA"/>
        </w:rPr>
        <w:t>Tweed</w:t>
      </w:r>
      <w:r w:rsidRPr="00D80E01" w:rsidR="009A4F85">
        <w:rPr>
          <w:rFonts w:eastAsiaTheme="minorHAnsi"/>
          <w:bCs/>
          <w:lang w:val="en-CA"/>
        </w:rPr>
        <w:t>"</w:t>
      </w:r>
      <w:r w:rsidRPr="00D80E01" w:rsidR="00D9581A">
        <w:rPr>
          <w:rFonts w:eastAsiaTheme="minorHAnsi"/>
          <w:bCs/>
          <w:lang w:val="en-CA"/>
        </w:rPr>
        <w:t>)</w:t>
      </w:r>
      <w:r w:rsidRPr="00D80E01">
        <w:rPr>
          <w:rFonts w:eastAsiaTheme="minorHAnsi"/>
          <w:bCs/>
          <w:lang w:val="en-CA"/>
        </w:rPr>
        <w:t>, a wholly-owned subsidiary of Canopy Growth Corporation</w:t>
      </w:r>
      <w:r w:rsidRPr="00D80E01" w:rsidR="00303AB0">
        <w:rPr>
          <w:rFonts w:eastAsiaTheme="minorHAnsi"/>
          <w:bCs/>
          <w:lang w:val="en-CA"/>
        </w:rPr>
        <w:t xml:space="preserve"> (the "</w:t>
      </w:r>
      <w:r w:rsidRPr="00D80E01" w:rsidR="00303AB0">
        <w:rPr>
          <w:rFonts w:eastAsiaTheme="minorHAnsi"/>
          <w:b/>
          <w:lang w:val="en-CA"/>
        </w:rPr>
        <w:t>Private Placement</w:t>
      </w:r>
      <w:r w:rsidRPr="00D80E01" w:rsidR="00303AB0">
        <w:rPr>
          <w:rFonts w:eastAsiaTheme="minorHAnsi"/>
          <w:bCs/>
          <w:lang w:val="en-CA"/>
        </w:rPr>
        <w:t>")</w:t>
      </w:r>
      <w:r w:rsidRPr="00D80E01">
        <w:rPr>
          <w:rFonts w:eastAsiaTheme="minorHAnsi"/>
          <w:bCs/>
          <w:lang w:val="en-CA"/>
        </w:rPr>
        <w:t>.</w:t>
      </w:r>
      <w:r w:rsidRPr="00D80E01">
        <w:rPr>
          <w:lang w:val="en-CA"/>
        </w:rPr>
        <w:t xml:space="preserve"> </w:t>
      </w:r>
      <w:r w:rsidRPr="00D80E01">
        <w:rPr>
          <w:rFonts w:eastAsiaTheme="minorHAnsi"/>
          <w:bCs/>
          <w:lang w:val="en-CA"/>
        </w:rPr>
        <w:t>The Private Placement was completed in connection with the entering into of a license assignment and assumption agreement and a contract manufacturing agreement</w:t>
      </w:r>
      <w:r w:rsidRPr="00D80E01" w:rsidR="00303AB0">
        <w:rPr>
          <w:rFonts w:eastAsiaTheme="minorHAnsi"/>
          <w:bCs/>
          <w:lang w:val="en-CA"/>
        </w:rPr>
        <w:t xml:space="preserve"> in exchange for aggregate consideration to Indiva of $4,250,000</w:t>
      </w:r>
      <w:r w:rsidRPr="00D80E01">
        <w:rPr>
          <w:rFonts w:eastAsiaTheme="minorHAnsi"/>
          <w:bCs/>
          <w:lang w:val="en-CA"/>
        </w:rPr>
        <w:t>, whereby Indiva assigned to Tweed all of its rights and interest in its exclusive license to manufacture and sell Wana™ branded products in Canada and Tweed granted to Indiva an exclusive right to manufacture and supply Wana™ branded products in Canada for a period of five years, with the ability to renew for an additional five-year term upon mutual agreement of the parties.</w:t>
      </w:r>
      <w:r w:rsidRPr="00D80E01" w:rsidR="00303AB0">
        <w:rPr>
          <w:rFonts w:eastAsiaTheme="minorHAnsi"/>
          <w:bCs/>
          <w:lang w:val="en-CA"/>
        </w:rPr>
        <w:t xml:space="preserve"> </w:t>
      </w:r>
    </w:p>
    <w:p w:rsidRPr="00D80E01" w:rsidR="00EF55F2" w:rsidP="00EF55F2" w:rsidRDefault="00EF55F2" w14:paraId="22DAC07F" w14:textId="76B6B907">
      <w:pPr>
        <w:pStyle w:val="StandardL2"/>
        <w:rPr>
          <w:lang w:val="en-CA"/>
        </w:rPr>
      </w:pPr>
      <w:r w:rsidRPr="00D80E01">
        <w:rPr>
          <w:lang w:val="en-CA"/>
        </w:rPr>
        <w:t>Material Facts</w:t>
      </w:r>
    </w:p>
    <w:p w:rsidRPr="00D80E01" w:rsidR="00C032EB" w:rsidP="00C032EB" w:rsidRDefault="00C032EB" w14:paraId="6FCC8547" w14:textId="0F1E7F6B">
      <w:pPr>
        <w:pStyle w:val="BodyText"/>
        <w:rPr>
          <w:rFonts w:eastAsiaTheme="minorHAnsi"/>
          <w:lang w:val="en-CA"/>
        </w:rPr>
      </w:pPr>
      <w:r w:rsidRPr="00D80E01">
        <w:rPr>
          <w:lang w:val="en-CA"/>
        </w:rPr>
        <w:t xml:space="preserve">There are no material facts about the securities being distributed that have not been disclosed in this </w:t>
      </w:r>
      <w:r w:rsidRPr="00D80E01" w:rsidR="00DF2774">
        <w:rPr>
          <w:lang w:val="en-CA"/>
        </w:rPr>
        <w:t>Offering Document</w:t>
      </w:r>
      <w:r w:rsidRPr="00D80E01">
        <w:rPr>
          <w:lang w:val="en-CA"/>
        </w:rPr>
        <w:t xml:space="preserve"> or in any other document filed by the Company in the 12 months preceding the date of this </w:t>
      </w:r>
      <w:r w:rsidRPr="00D80E01" w:rsidR="00DF2774">
        <w:rPr>
          <w:lang w:val="en-CA"/>
        </w:rPr>
        <w:t>Offering Document</w:t>
      </w:r>
      <w:r w:rsidRPr="00D80E01">
        <w:rPr>
          <w:lang w:val="en-CA"/>
        </w:rPr>
        <w:t>.</w:t>
      </w:r>
    </w:p>
    <w:p w:rsidRPr="00D80E01" w:rsidR="00EF55F2" w:rsidP="00EF55F2" w:rsidRDefault="00EF55F2" w14:paraId="1D9E46A3" w14:textId="769CB3BD">
      <w:pPr>
        <w:pStyle w:val="StandardL2"/>
        <w:rPr>
          <w:lang w:val="en-CA"/>
        </w:rPr>
      </w:pPr>
      <w:r w:rsidRPr="00D80E01">
        <w:rPr>
          <w:lang w:val="en-CA"/>
        </w:rPr>
        <w:t>What are the business objectives that we expect to accomplish using the available funds?</w:t>
      </w:r>
    </w:p>
    <w:p w:rsidRPr="00D80E01" w:rsidR="00C7098C" w:rsidP="00C7098C" w:rsidRDefault="00C7098C" w14:paraId="322E4DDA" w14:textId="5D2AC5A6">
      <w:pPr>
        <w:pStyle w:val="BodyText"/>
        <w:rPr>
          <w:rFonts w:eastAsiaTheme="minorHAnsi"/>
          <w:lang w:val="en-CA"/>
        </w:rPr>
      </w:pPr>
      <w:r w:rsidRPr="00D80E01">
        <w:rPr>
          <w:rFonts w:eastAsiaTheme="minorHAnsi"/>
          <w:lang w:val="en-CA"/>
        </w:rPr>
        <w:t>The business objective that the Company expects to accomplish using the net proceeds of the Offering, together with existing cash and cash equivalents, is operational capital to support the Company</w:t>
      </w:r>
      <w:r w:rsidRPr="00D80E01" w:rsidR="009A4F85">
        <w:rPr>
          <w:rFonts w:eastAsiaTheme="minorHAnsi"/>
          <w:lang w:val="en-CA"/>
        </w:rPr>
        <w:t>'</w:t>
      </w:r>
      <w:r w:rsidRPr="00D80E01">
        <w:rPr>
          <w:rFonts w:eastAsiaTheme="minorHAnsi"/>
          <w:lang w:val="en-CA"/>
        </w:rPr>
        <w:t>s growth. There are no significant events which must occur in order to accomplish this business objective.</w:t>
      </w:r>
    </w:p>
    <w:p w:rsidRPr="00D80E01" w:rsidR="00313A24" w:rsidP="00313A24" w:rsidRDefault="00313A24" w14:paraId="308128A5" w14:textId="7E504AF5">
      <w:pPr>
        <w:pStyle w:val="StandardL1"/>
        <w:rPr>
          <w:rFonts w:eastAsiaTheme="minorHAnsi"/>
          <w:lang w:val="en-CA"/>
        </w:rPr>
      </w:pPr>
      <w:r w:rsidRPr="00D80E01">
        <w:rPr>
          <w:rFonts w:eastAsiaTheme="minorHAnsi"/>
          <w:lang w:val="en-CA"/>
        </w:rPr>
        <w:t>USE OF AVAILABLE FUNDS</w:t>
      </w:r>
    </w:p>
    <w:p w:rsidR="00313A24" w:rsidP="00313A24" w:rsidRDefault="00313A24" w14:paraId="6601175C" w14:textId="686DFED3">
      <w:pPr>
        <w:pStyle w:val="StandardL2"/>
        <w:rPr>
          <w:lang w:val="en-CA"/>
        </w:rPr>
      </w:pPr>
      <w:r w:rsidRPr="00D80E01">
        <w:rPr>
          <w:lang w:val="en-CA"/>
        </w:rPr>
        <w:t>What will our available funds be upon the closing of the offering?</w:t>
      </w:r>
      <w:r w:rsidRPr="00D80E01" w:rsidR="00930246">
        <w:rPr>
          <w:rStyle w:val="FootnoteReference"/>
          <w:lang w:val="en-CA"/>
        </w:rPr>
        <w:t xml:space="preserve"> </w:t>
      </w:r>
    </w:p>
    <w:tbl>
      <w:tblPr>
        <w:tblStyle w:val="TableGrid"/>
        <w:tblW w:w="0" w:type="auto"/>
        <w:tblBorders>
          <w:left w:val="none" w:color="auto" w:sz="0" w:space="0"/>
          <w:right w:val="none" w:color="auto" w:sz="0" w:space="0"/>
          <w:insideV w:val="none" w:color="auto" w:sz="0" w:space="0"/>
        </w:tblBorders>
        <w:tblLook w:val="04A0" w:firstRow="1" w:lastRow="0" w:firstColumn="1" w:lastColumn="0" w:noHBand="0" w:noVBand="1"/>
      </w:tblPr>
      <w:tblGrid>
        <w:gridCol w:w="388"/>
        <w:gridCol w:w="5022"/>
        <w:gridCol w:w="2155"/>
        <w:gridCol w:w="1795"/>
      </w:tblGrid>
      <w:tr w:rsidRPr="008048F4" w:rsidR="00F86798" w:rsidTr="00F86798" w14:paraId="5BAFEA6B" w14:textId="77777777">
        <w:tc>
          <w:tcPr>
            <w:tcW w:w="388" w:type="dxa"/>
            <w:vAlign w:val="center"/>
          </w:tcPr>
          <w:p w:rsidRPr="008048F4" w:rsidR="00F86798" w:rsidP="00AC07F2" w:rsidRDefault="00F86798" w14:paraId="5F0E83A6" w14:textId="77777777">
            <w:pPr>
              <w:pStyle w:val="BodyText"/>
              <w:spacing w:before="120" w:after="120"/>
              <w:jc w:val="center"/>
              <w:rPr>
                <w:rFonts w:eastAsiaTheme="minorHAnsi"/>
                <w:bCs/>
                <w:lang w:val="en-CA"/>
              </w:rPr>
            </w:pPr>
          </w:p>
        </w:tc>
        <w:tc>
          <w:tcPr>
            <w:tcW w:w="5022" w:type="dxa"/>
            <w:vAlign w:val="center"/>
          </w:tcPr>
          <w:p w:rsidRPr="008048F4" w:rsidR="00F86798" w:rsidP="00AC07F2" w:rsidRDefault="00F86798" w14:paraId="4ADD52DE" w14:textId="77777777">
            <w:pPr>
              <w:pStyle w:val="BodyText"/>
              <w:spacing w:before="120" w:after="120"/>
              <w:jc w:val="center"/>
              <w:rPr>
                <w:rFonts w:eastAsiaTheme="minorHAnsi"/>
                <w:bCs/>
                <w:lang w:val="en-CA"/>
              </w:rPr>
            </w:pPr>
          </w:p>
        </w:tc>
        <w:tc>
          <w:tcPr>
            <w:tcW w:w="2155" w:type="dxa"/>
            <w:vAlign w:val="center"/>
          </w:tcPr>
          <w:p w:rsidRPr="008048F4" w:rsidR="00F86798" w:rsidP="00AC07F2" w:rsidRDefault="00F86798" w14:paraId="27C0FE25" w14:textId="77777777">
            <w:pPr>
              <w:pStyle w:val="BodyText"/>
              <w:spacing w:before="120" w:after="120"/>
              <w:jc w:val="center"/>
              <w:rPr>
                <w:rFonts w:eastAsiaTheme="minorHAnsi"/>
                <w:b/>
                <w:lang w:val="en-CA"/>
              </w:rPr>
            </w:pPr>
            <w:r w:rsidRPr="008048F4">
              <w:rPr>
                <w:rFonts w:eastAsiaTheme="minorHAnsi"/>
                <w:b/>
                <w:lang w:val="en-CA"/>
              </w:rPr>
              <w:t>Assuming Minimum Offering Only</w:t>
            </w:r>
          </w:p>
        </w:tc>
        <w:tc>
          <w:tcPr>
            <w:tcW w:w="1795" w:type="dxa"/>
            <w:vAlign w:val="center"/>
          </w:tcPr>
          <w:p w:rsidRPr="008048F4" w:rsidR="00F86798" w:rsidP="00AC07F2" w:rsidRDefault="00F86798" w14:paraId="31E28FB5" w14:textId="77777777">
            <w:pPr>
              <w:pStyle w:val="BodyText"/>
              <w:spacing w:before="120" w:after="120"/>
              <w:jc w:val="center"/>
              <w:rPr>
                <w:rFonts w:eastAsiaTheme="minorHAnsi"/>
                <w:b/>
                <w:lang w:val="en-CA"/>
              </w:rPr>
            </w:pPr>
            <w:r w:rsidRPr="008048F4">
              <w:rPr>
                <w:rFonts w:eastAsiaTheme="minorHAnsi"/>
                <w:b/>
                <w:lang w:val="en-CA"/>
              </w:rPr>
              <w:t>Assuming 100% of Offering</w:t>
            </w:r>
          </w:p>
        </w:tc>
      </w:tr>
      <w:tr w:rsidRPr="008048F4" w:rsidR="00F86798" w:rsidTr="00F86798" w14:paraId="24B40970" w14:textId="77777777">
        <w:tc>
          <w:tcPr>
            <w:tcW w:w="388" w:type="dxa"/>
            <w:vAlign w:val="center"/>
          </w:tcPr>
          <w:p w:rsidRPr="008048F4" w:rsidR="00F86798" w:rsidP="00F86798" w:rsidRDefault="00F86798" w14:paraId="06C0F8A5" w14:textId="77777777">
            <w:pPr>
              <w:pStyle w:val="BodyText"/>
              <w:spacing w:before="120" w:after="120"/>
              <w:jc w:val="center"/>
              <w:rPr>
                <w:rFonts w:eastAsiaTheme="minorHAnsi"/>
                <w:b/>
                <w:lang w:val="en-CA"/>
              </w:rPr>
            </w:pPr>
            <w:r w:rsidRPr="008048F4">
              <w:rPr>
                <w:rFonts w:eastAsiaTheme="minorHAnsi"/>
                <w:b/>
                <w:lang w:val="en-CA"/>
              </w:rPr>
              <w:t>A</w:t>
            </w:r>
          </w:p>
        </w:tc>
        <w:tc>
          <w:tcPr>
            <w:tcW w:w="5022" w:type="dxa"/>
            <w:vAlign w:val="center"/>
          </w:tcPr>
          <w:p w:rsidRPr="008048F4" w:rsidR="00F86798" w:rsidP="00F86798" w:rsidRDefault="00F86798" w14:paraId="340F8964" w14:textId="77777777">
            <w:pPr>
              <w:pStyle w:val="BodyText"/>
              <w:spacing w:before="120" w:after="120"/>
              <w:jc w:val="left"/>
              <w:rPr>
                <w:rFonts w:eastAsiaTheme="minorHAnsi"/>
                <w:b/>
                <w:lang w:val="en-CA"/>
              </w:rPr>
            </w:pPr>
            <w:r w:rsidRPr="008048F4">
              <w:rPr>
                <w:rFonts w:eastAsiaTheme="minorHAnsi"/>
                <w:b/>
                <w:lang w:val="en-CA"/>
              </w:rPr>
              <w:t>Amount to be raised by this offering</w:t>
            </w:r>
          </w:p>
        </w:tc>
        <w:tc>
          <w:tcPr>
            <w:tcW w:w="2155" w:type="dxa"/>
            <w:vAlign w:val="center"/>
          </w:tcPr>
          <w:p w:rsidRPr="008048F4" w:rsidR="00F86798" w:rsidP="00F86798" w:rsidRDefault="00F86798" w14:paraId="531684B0" w14:textId="185F28BC">
            <w:pPr>
              <w:pStyle w:val="BodyText"/>
              <w:spacing w:before="120" w:after="120"/>
              <w:jc w:val="center"/>
              <w:rPr>
                <w:rFonts w:eastAsiaTheme="minorHAnsi"/>
                <w:bCs/>
                <w:lang w:val="en-CA"/>
              </w:rPr>
            </w:pPr>
            <w:r w:rsidRPr="00D80E01">
              <w:rPr>
                <w:rFonts w:eastAsiaTheme="minorHAnsi"/>
                <w:bCs/>
                <w:lang w:val="en-CA"/>
              </w:rPr>
              <w:t>$</w:t>
            </w:r>
            <w:r>
              <w:rPr>
                <w:rFonts w:eastAsiaTheme="minorHAnsi"/>
                <w:bCs/>
                <w:lang w:val="en-CA"/>
              </w:rPr>
              <w:t>1</w:t>
            </w:r>
            <w:r w:rsidRPr="00D80E01">
              <w:rPr>
                <w:rFonts w:eastAsiaTheme="minorHAnsi"/>
                <w:bCs/>
                <w:lang w:val="en-CA"/>
              </w:rPr>
              <w:t>,0</w:t>
            </w:r>
            <w:r>
              <w:rPr>
                <w:rFonts w:eastAsiaTheme="minorHAnsi"/>
                <w:bCs/>
                <w:lang w:val="en-CA"/>
              </w:rPr>
              <w:t>94</w:t>
            </w:r>
            <w:r w:rsidRPr="00D80E01">
              <w:rPr>
                <w:rFonts w:eastAsiaTheme="minorHAnsi"/>
                <w:bCs/>
                <w:lang w:val="en-CA"/>
              </w:rPr>
              <w:t>,000</w:t>
            </w:r>
          </w:p>
        </w:tc>
        <w:tc>
          <w:tcPr>
            <w:tcW w:w="1795" w:type="dxa"/>
            <w:vAlign w:val="center"/>
          </w:tcPr>
          <w:p w:rsidRPr="008048F4" w:rsidR="00F86798" w:rsidP="00F86798" w:rsidRDefault="00F86798" w14:paraId="21ED3918" w14:textId="5A7D252C">
            <w:pPr>
              <w:pStyle w:val="BodyText"/>
              <w:spacing w:before="120" w:after="120"/>
              <w:jc w:val="center"/>
              <w:rPr>
                <w:rFonts w:eastAsiaTheme="minorHAnsi"/>
                <w:bCs/>
                <w:lang w:val="en-CA"/>
              </w:rPr>
            </w:pPr>
            <w:r w:rsidRPr="00D80E01">
              <w:rPr>
                <w:rFonts w:eastAsiaTheme="minorHAnsi"/>
                <w:bCs/>
                <w:lang w:val="en-CA"/>
              </w:rPr>
              <w:t>$4,0</w:t>
            </w:r>
            <w:r>
              <w:rPr>
                <w:rFonts w:eastAsiaTheme="minorHAnsi"/>
                <w:bCs/>
                <w:lang w:val="en-CA"/>
              </w:rPr>
              <w:t>94</w:t>
            </w:r>
            <w:r w:rsidRPr="00D80E01">
              <w:rPr>
                <w:rFonts w:eastAsiaTheme="minorHAnsi"/>
                <w:bCs/>
                <w:lang w:val="en-CA"/>
              </w:rPr>
              <w:t>,000</w:t>
            </w:r>
          </w:p>
        </w:tc>
      </w:tr>
      <w:tr w:rsidRPr="008048F4" w:rsidR="00F86798" w:rsidTr="00F86798" w14:paraId="26CE8814" w14:textId="77777777">
        <w:tc>
          <w:tcPr>
            <w:tcW w:w="388" w:type="dxa"/>
            <w:vAlign w:val="center"/>
          </w:tcPr>
          <w:p w:rsidRPr="008048F4" w:rsidR="00F86798" w:rsidP="00F86798" w:rsidRDefault="00F86798" w14:paraId="29DADE9D" w14:textId="77777777">
            <w:pPr>
              <w:pStyle w:val="BodyText"/>
              <w:spacing w:before="120" w:after="120"/>
              <w:jc w:val="center"/>
              <w:rPr>
                <w:rFonts w:eastAsiaTheme="minorHAnsi"/>
                <w:b/>
                <w:lang w:val="en-CA"/>
              </w:rPr>
            </w:pPr>
            <w:r w:rsidRPr="008048F4">
              <w:rPr>
                <w:rFonts w:eastAsiaTheme="minorHAnsi"/>
                <w:b/>
                <w:lang w:val="en-CA"/>
              </w:rPr>
              <w:t>B</w:t>
            </w:r>
          </w:p>
        </w:tc>
        <w:tc>
          <w:tcPr>
            <w:tcW w:w="5022" w:type="dxa"/>
            <w:vAlign w:val="center"/>
          </w:tcPr>
          <w:p w:rsidRPr="008048F4" w:rsidR="00F86798" w:rsidP="00F86798" w:rsidRDefault="00F86798" w14:paraId="4C9AE71B" w14:textId="77777777">
            <w:pPr>
              <w:pStyle w:val="BodyText"/>
              <w:spacing w:before="120" w:after="120"/>
              <w:jc w:val="left"/>
              <w:rPr>
                <w:rFonts w:eastAsiaTheme="minorHAnsi"/>
                <w:b/>
                <w:lang w:val="en-CA"/>
              </w:rPr>
            </w:pPr>
            <w:r w:rsidRPr="008048F4">
              <w:rPr>
                <w:rFonts w:eastAsiaTheme="minorHAnsi"/>
                <w:b/>
                <w:lang w:val="en-CA"/>
              </w:rPr>
              <w:t>Selling commissions and fees</w:t>
            </w:r>
          </w:p>
        </w:tc>
        <w:tc>
          <w:tcPr>
            <w:tcW w:w="2155" w:type="dxa"/>
            <w:vAlign w:val="center"/>
          </w:tcPr>
          <w:p w:rsidRPr="008048F4" w:rsidR="00F86798" w:rsidP="00F86798" w:rsidRDefault="00F86798" w14:paraId="6DA0C7E1" w14:textId="47CA075D">
            <w:pPr>
              <w:pStyle w:val="BodyText"/>
              <w:spacing w:before="120" w:after="120"/>
              <w:jc w:val="center"/>
              <w:rPr>
                <w:rFonts w:eastAsiaTheme="minorHAnsi"/>
                <w:bCs/>
                <w:lang w:val="en-CA"/>
              </w:rPr>
            </w:pPr>
            <w:r>
              <w:rPr>
                <w:rFonts w:eastAsiaTheme="minorHAnsi"/>
                <w:bCs/>
                <w:lang w:val="en-CA"/>
              </w:rPr>
              <w:t>$87,520</w:t>
            </w:r>
          </w:p>
        </w:tc>
        <w:tc>
          <w:tcPr>
            <w:tcW w:w="1795" w:type="dxa"/>
            <w:vAlign w:val="center"/>
          </w:tcPr>
          <w:p w:rsidRPr="008048F4" w:rsidR="00F86798" w:rsidP="00F86798" w:rsidRDefault="00F86798" w14:paraId="4C20F11B" w14:textId="6213AD9D">
            <w:pPr>
              <w:pStyle w:val="BodyText"/>
              <w:spacing w:before="120" w:after="120"/>
              <w:jc w:val="center"/>
              <w:rPr>
                <w:rFonts w:eastAsiaTheme="minorHAnsi"/>
                <w:bCs/>
                <w:lang w:val="en-CA"/>
              </w:rPr>
            </w:pPr>
            <w:r w:rsidRPr="00D80E01">
              <w:rPr>
                <w:rFonts w:eastAsiaTheme="minorHAnsi"/>
                <w:bCs/>
                <w:lang w:val="en-CA"/>
              </w:rPr>
              <w:t>$32</w:t>
            </w:r>
            <w:r>
              <w:rPr>
                <w:rFonts w:eastAsiaTheme="minorHAnsi"/>
                <w:bCs/>
                <w:lang w:val="en-CA"/>
              </w:rPr>
              <w:t>7</w:t>
            </w:r>
            <w:r w:rsidRPr="00D80E01">
              <w:rPr>
                <w:rFonts w:eastAsiaTheme="minorHAnsi"/>
                <w:bCs/>
                <w:lang w:val="en-CA"/>
              </w:rPr>
              <w:t>,</w:t>
            </w:r>
            <w:r>
              <w:rPr>
                <w:rFonts w:eastAsiaTheme="minorHAnsi"/>
                <w:bCs/>
                <w:lang w:val="en-CA"/>
              </w:rPr>
              <w:t>52</w:t>
            </w:r>
            <w:r w:rsidRPr="00D80E01">
              <w:rPr>
                <w:rFonts w:eastAsiaTheme="minorHAnsi"/>
                <w:bCs/>
                <w:lang w:val="en-CA"/>
              </w:rPr>
              <w:t>0</w:t>
            </w:r>
          </w:p>
        </w:tc>
      </w:tr>
      <w:tr w:rsidRPr="008048F4" w:rsidR="00F86798" w:rsidTr="00F86798" w14:paraId="5BC0BFED" w14:textId="77777777">
        <w:tc>
          <w:tcPr>
            <w:tcW w:w="388" w:type="dxa"/>
            <w:vAlign w:val="center"/>
          </w:tcPr>
          <w:p w:rsidRPr="008048F4" w:rsidR="00F86798" w:rsidP="00F86798" w:rsidRDefault="00F86798" w14:paraId="5C4736FD" w14:textId="77777777">
            <w:pPr>
              <w:pStyle w:val="BodyText"/>
              <w:spacing w:before="120" w:after="120"/>
              <w:jc w:val="center"/>
              <w:rPr>
                <w:rFonts w:eastAsiaTheme="minorHAnsi"/>
                <w:b/>
                <w:lang w:val="en-CA"/>
              </w:rPr>
            </w:pPr>
            <w:r w:rsidRPr="008048F4">
              <w:rPr>
                <w:rFonts w:eastAsiaTheme="minorHAnsi"/>
                <w:b/>
                <w:lang w:val="en-CA"/>
              </w:rPr>
              <w:t>C</w:t>
            </w:r>
          </w:p>
        </w:tc>
        <w:tc>
          <w:tcPr>
            <w:tcW w:w="5022" w:type="dxa"/>
            <w:vAlign w:val="center"/>
          </w:tcPr>
          <w:p w:rsidRPr="008048F4" w:rsidR="00F86798" w:rsidP="00F86798" w:rsidRDefault="00F86798" w14:paraId="33156BF1" w14:textId="77777777">
            <w:pPr>
              <w:pStyle w:val="BodyText"/>
              <w:spacing w:before="120" w:after="120"/>
              <w:jc w:val="left"/>
              <w:rPr>
                <w:rFonts w:eastAsiaTheme="minorHAnsi"/>
                <w:b/>
                <w:lang w:val="en-CA"/>
              </w:rPr>
            </w:pPr>
            <w:r w:rsidRPr="008048F4">
              <w:rPr>
                <w:rFonts w:eastAsiaTheme="minorHAnsi"/>
                <w:b/>
                <w:lang w:val="en-CA"/>
              </w:rPr>
              <w:t>Estimated offering costs (e.g., legal, accounting, audit)</w:t>
            </w:r>
          </w:p>
        </w:tc>
        <w:tc>
          <w:tcPr>
            <w:tcW w:w="2155" w:type="dxa"/>
            <w:vAlign w:val="center"/>
          </w:tcPr>
          <w:p w:rsidRPr="008048F4" w:rsidR="00F86798" w:rsidP="00F86798" w:rsidRDefault="00B8362D" w14:paraId="57DAC2D5" w14:textId="79ED9E34">
            <w:pPr>
              <w:pStyle w:val="BodyText"/>
              <w:spacing w:before="120" w:after="120"/>
              <w:jc w:val="center"/>
              <w:rPr>
                <w:rFonts w:eastAsiaTheme="minorHAnsi"/>
                <w:bCs/>
                <w:lang w:val="en-CA"/>
              </w:rPr>
            </w:pPr>
            <w:r>
              <w:rPr>
                <w:rFonts w:eastAsiaTheme="minorHAnsi"/>
                <w:bCs/>
                <w:lang w:val="en-CA"/>
              </w:rPr>
              <w:t>$65,000</w:t>
            </w:r>
          </w:p>
        </w:tc>
        <w:tc>
          <w:tcPr>
            <w:tcW w:w="1795" w:type="dxa"/>
            <w:vAlign w:val="center"/>
          </w:tcPr>
          <w:p w:rsidRPr="008048F4" w:rsidR="00F86798" w:rsidP="00F86798" w:rsidRDefault="00F86798" w14:paraId="7E714DC0" w14:textId="79A00EBB">
            <w:pPr>
              <w:pStyle w:val="BodyText"/>
              <w:spacing w:before="120" w:after="120"/>
              <w:jc w:val="center"/>
              <w:rPr>
                <w:rFonts w:eastAsiaTheme="minorHAnsi"/>
                <w:bCs/>
                <w:lang w:val="en-CA"/>
              </w:rPr>
            </w:pPr>
            <w:r w:rsidRPr="00D80E01">
              <w:rPr>
                <w:rFonts w:eastAsiaTheme="minorHAnsi"/>
                <w:bCs/>
                <w:lang w:val="en-CA"/>
              </w:rPr>
              <w:t>$80,000</w:t>
            </w:r>
          </w:p>
        </w:tc>
      </w:tr>
      <w:tr w:rsidRPr="008048F4" w:rsidR="00F86798" w:rsidTr="00F86798" w14:paraId="461169AF" w14:textId="77777777">
        <w:tc>
          <w:tcPr>
            <w:tcW w:w="388" w:type="dxa"/>
            <w:vAlign w:val="center"/>
          </w:tcPr>
          <w:p w:rsidRPr="008048F4" w:rsidR="00F86798" w:rsidP="00F86798" w:rsidRDefault="00F86798" w14:paraId="0C8FC6A2" w14:textId="77777777">
            <w:pPr>
              <w:pStyle w:val="BodyText"/>
              <w:spacing w:before="120" w:after="120"/>
              <w:jc w:val="center"/>
              <w:rPr>
                <w:rFonts w:eastAsiaTheme="minorHAnsi"/>
                <w:b/>
                <w:lang w:val="en-CA"/>
              </w:rPr>
            </w:pPr>
            <w:r w:rsidRPr="008048F4">
              <w:rPr>
                <w:rFonts w:eastAsiaTheme="minorHAnsi"/>
                <w:b/>
                <w:lang w:val="en-CA"/>
              </w:rPr>
              <w:t>D</w:t>
            </w:r>
          </w:p>
        </w:tc>
        <w:tc>
          <w:tcPr>
            <w:tcW w:w="5022" w:type="dxa"/>
            <w:vAlign w:val="center"/>
          </w:tcPr>
          <w:p w:rsidRPr="008048F4" w:rsidR="00F86798" w:rsidP="00F86798" w:rsidRDefault="00F86798" w14:paraId="02C3FF09" w14:textId="77777777">
            <w:pPr>
              <w:pStyle w:val="BodyText"/>
              <w:spacing w:before="120" w:after="120"/>
              <w:jc w:val="left"/>
              <w:rPr>
                <w:rFonts w:eastAsiaTheme="minorHAnsi"/>
                <w:b/>
                <w:lang w:val="en-CA"/>
              </w:rPr>
            </w:pPr>
            <w:r w:rsidRPr="008048F4">
              <w:rPr>
                <w:rFonts w:eastAsiaTheme="minorHAnsi"/>
                <w:b/>
                <w:lang w:val="en-CA"/>
              </w:rPr>
              <w:t>Net proceeds of offering:</w:t>
            </w:r>
            <w:r w:rsidRPr="008048F4">
              <w:rPr>
                <w:rFonts w:eastAsiaTheme="minorHAnsi"/>
                <w:b/>
                <w:lang w:val="en-CA"/>
              </w:rPr>
              <w:br/>
              <w:t>D = A - (B+C)</w:t>
            </w:r>
          </w:p>
        </w:tc>
        <w:tc>
          <w:tcPr>
            <w:tcW w:w="2155" w:type="dxa"/>
            <w:vAlign w:val="center"/>
          </w:tcPr>
          <w:p w:rsidRPr="008048F4" w:rsidR="00F86798" w:rsidP="00F86798" w:rsidRDefault="00B8362D" w14:paraId="341BA901" w14:textId="0D514FFE">
            <w:pPr>
              <w:pStyle w:val="BodyText"/>
              <w:spacing w:before="120" w:after="120"/>
              <w:jc w:val="center"/>
              <w:rPr>
                <w:rFonts w:eastAsiaTheme="minorHAnsi"/>
                <w:bCs/>
                <w:lang w:val="en-CA"/>
              </w:rPr>
            </w:pPr>
            <w:r>
              <w:rPr>
                <w:rFonts w:eastAsiaTheme="minorHAnsi"/>
                <w:bCs/>
                <w:lang w:val="en-CA"/>
              </w:rPr>
              <w:t>$941,480</w:t>
            </w:r>
          </w:p>
        </w:tc>
        <w:tc>
          <w:tcPr>
            <w:tcW w:w="1795" w:type="dxa"/>
            <w:vAlign w:val="center"/>
          </w:tcPr>
          <w:p w:rsidRPr="008048F4" w:rsidR="00F86798" w:rsidP="00F86798" w:rsidRDefault="00F86798" w14:paraId="242F4FB4" w14:textId="2C53EBA7">
            <w:pPr>
              <w:pStyle w:val="BodyText"/>
              <w:spacing w:before="120" w:after="120"/>
              <w:jc w:val="center"/>
              <w:rPr>
                <w:rFonts w:eastAsiaTheme="minorHAnsi"/>
                <w:bCs/>
                <w:lang w:val="en-CA"/>
              </w:rPr>
            </w:pPr>
            <w:r w:rsidRPr="00D80E01">
              <w:rPr>
                <w:rFonts w:eastAsiaTheme="minorHAnsi"/>
                <w:bCs/>
                <w:lang w:val="en-CA"/>
              </w:rPr>
              <w:t>$3,6</w:t>
            </w:r>
            <w:r>
              <w:rPr>
                <w:rFonts w:eastAsiaTheme="minorHAnsi"/>
                <w:bCs/>
                <w:lang w:val="en-CA"/>
              </w:rPr>
              <w:t>86</w:t>
            </w:r>
            <w:r w:rsidRPr="00D80E01">
              <w:rPr>
                <w:rFonts w:eastAsiaTheme="minorHAnsi"/>
                <w:bCs/>
                <w:lang w:val="en-CA"/>
              </w:rPr>
              <w:t>,</w:t>
            </w:r>
            <w:r>
              <w:rPr>
                <w:rFonts w:eastAsiaTheme="minorHAnsi"/>
                <w:bCs/>
                <w:lang w:val="en-CA"/>
              </w:rPr>
              <w:t>48</w:t>
            </w:r>
            <w:r w:rsidRPr="00D80E01">
              <w:rPr>
                <w:rFonts w:eastAsiaTheme="minorHAnsi"/>
                <w:bCs/>
                <w:lang w:val="en-CA"/>
              </w:rPr>
              <w:t>0</w:t>
            </w:r>
          </w:p>
        </w:tc>
      </w:tr>
      <w:tr w:rsidRPr="008048F4" w:rsidR="00C67227" w:rsidTr="00F86798" w14:paraId="1113DA25" w14:textId="77777777">
        <w:tc>
          <w:tcPr>
            <w:tcW w:w="388" w:type="dxa"/>
            <w:vAlign w:val="center"/>
          </w:tcPr>
          <w:p w:rsidRPr="008048F4" w:rsidR="00C67227" w:rsidP="00C67227" w:rsidRDefault="00C67227" w14:paraId="25102861" w14:textId="77777777">
            <w:pPr>
              <w:pStyle w:val="BodyText"/>
              <w:spacing w:before="120" w:after="120"/>
              <w:jc w:val="center"/>
              <w:rPr>
                <w:rFonts w:eastAsiaTheme="minorHAnsi"/>
                <w:b/>
                <w:lang w:val="en-CA"/>
              </w:rPr>
            </w:pPr>
            <w:r w:rsidRPr="008048F4">
              <w:rPr>
                <w:rFonts w:eastAsiaTheme="minorHAnsi"/>
                <w:b/>
                <w:lang w:val="en-CA"/>
              </w:rPr>
              <w:t>E</w:t>
            </w:r>
          </w:p>
        </w:tc>
        <w:tc>
          <w:tcPr>
            <w:tcW w:w="5022" w:type="dxa"/>
            <w:vAlign w:val="center"/>
          </w:tcPr>
          <w:p w:rsidRPr="008048F4" w:rsidR="00C67227" w:rsidP="00C67227" w:rsidRDefault="00C67227" w14:paraId="77E9E7DA" w14:textId="5DEDE4D5">
            <w:pPr>
              <w:pStyle w:val="BodyText"/>
              <w:spacing w:before="120" w:after="120"/>
              <w:jc w:val="left"/>
              <w:rPr>
                <w:rFonts w:eastAsiaTheme="minorHAnsi"/>
                <w:b/>
                <w:lang w:val="en-CA"/>
              </w:rPr>
            </w:pPr>
            <w:r w:rsidRPr="008048F4">
              <w:rPr>
                <w:rFonts w:eastAsiaTheme="minorHAnsi"/>
                <w:b/>
                <w:lang w:val="en-CA"/>
              </w:rPr>
              <w:t xml:space="preserve">Working capital as at </w:t>
            </w:r>
            <w:r>
              <w:rPr>
                <w:rFonts w:eastAsiaTheme="minorHAnsi"/>
                <w:b/>
                <w:lang w:val="en-CA"/>
              </w:rPr>
              <w:t>February</w:t>
            </w:r>
            <w:r w:rsidRPr="00D80E01">
              <w:rPr>
                <w:rFonts w:eastAsiaTheme="minorHAnsi"/>
                <w:b/>
                <w:lang w:val="en-CA"/>
              </w:rPr>
              <w:t xml:space="preserve"> </w:t>
            </w:r>
            <w:r>
              <w:rPr>
                <w:rFonts w:eastAsiaTheme="minorHAnsi"/>
                <w:b/>
                <w:lang w:val="en-CA"/>
              </w:rPr>
              <w:t>29</w:t>
            </w:r>
            <w:r w:rsidRPr="00D80E01">
              <w:rPr>
                <w:rFonts w:eastAsiaTheme="minorHAnsi"/>
                <w:b/>
                <w:lang w:val="en-CA"/>
              </w:rPr>
              <w:t>, 202</w:t>
            </w:r>
            <w:r>
              <w:rPr>
                <w:rFonts w:eastAsiaTheme="minorHAnsi"/>
                <w:b/>
                <w:lang w:val="en-CA"/>
              </w:rPr>
              <w:t xml:space="preserve">4 </w:t>
            </w:r>
            <w:r w:rsidRPr="008048F4">
              <w:rPr>
                <w:rFonts w:eastAsiaTheme="minorHAnsi"/>
                <w:b/>
                <w:lang w:val="en-CA"/>
              </w:rPr>
              <w:t>(deficiency)</w:t>
            </w:r>
            <w:r w:rsidRPr="00E02955">
              <w:rPr>
                <w:rFonts w:eastAsiaTheme="minorHAnsi"/>
                <w:b/>
                <w:vertAlign w:val="superscript"/>
                <w:lang w:val="en-CA"/>
              </w:rPr>
              <w:t>(1)</w:t>
            </w:r>
            <w:r>
              <w:rPr>
                <w:rFonts w:eastAsiaTheme="minorHAnsi"/>
                <w:b/>
                <w:vertAlign w:val="superscript"/>
                <w:lang w:val="en-CA"/>
              </w:rPr>
              <w:t>(2)</w:t>
            </w:r>
          </w:p>
        </w:tc>
        <w:tc>
          <w:tcPr>
            <w:tcW w:w="2155" w:type="dxa"/>
            <w:vAlign w:val="center"/>
          </w:tcPr>
          <w:p w:rsidRPr="008048F4" w:rsidR="00C67227" w:rsidP="00C67227" w:rsidRDefault="00C67227" w14:paraId="6370957F" w14:textId="176BD254">
            <w:pPr>
              <w:pStyle w:val="BodyText"/>
              <w:spacing w:before="120" w:after="120"/>
              <w:jc w:val="center"/>
              <w:rPr>
                <w:rFonts w:eastAsiaTheme="minorHAnsi"/>
                <w:bCs/>
                <w:lang w:val="en-CA"/>
              </w:rPr>
            </w:pPr>
            <w:r w:rsidRPr="00D80E01">
              <w:rPr>
                <w:rFonts w:eastAsiaTheme="minorHAnsi"/>
                <w:bCs/>
                <w:lang w:val="en-CA"/>
              </w:rPr>
              <w:t>$(</w:t>
            </w:r>
            <w:r>
              <w:rPr>
                <w:rFonts w:eastAsiaTheme="minorHAnsi"/>
                <w:bCs/>
                <w:lang w:val="en-CA"/>
              </w:rPr>
              <w:t>2,441,206</w:t>
            </w:r>
            <w:r w:rsidRPr="00D80E01">
              <w:rPr>
                <w:rFonts w:eastAsiaTheme="minorHAnsi"/>
                <w:bCs/>
                <w:lang w:val="en-CA"/>
              </w:rPr>
              <w:t>)</w:t>
            </w:r>
          </w:p>
        </w:tc>
        <w:tc>
          <w:tcPr>
            <w:tcW w:w="1795" w:type="dxa"/>
            <w:vAlign w:val="center"/>
          </w:tcPr>
          <w:p w:rsidRPr="008048F4" w:rsidR="00C67227" w:rsidP="00C67227" w:rsidRDefault="00C67227" w14:paraId="71241A5A" w14:textId="5EE79495">
            <w:pPr>
              <w:pStyle w:val="BodyText"/>
              <w:spacing w:before="120" w:after="120"/>
              <w:jc w:val="center"/>
              <w:rPr>
                <w:rFonts w:eastAsiaTheme="minorHAnsi"/>
                <w:bCs/>
                <w:lang w:val="en-CA"/>
              </w:rPr>
            </w:pPr>
            <w:r w:rsidRPr="00D80E01">
              <w:rPr>
                <w:rFonts w:eastAsiaTheme="minorHAnsi"/>
                <w:bCs/>
                <w:lang w:val="en-CA"/>
              </w:rPr>
              <w:t>$(</w:t>
            </w:r>
            <w:r>
              <w:rPr>
                <w:rFonts w:eastAsiaTheme="minorHAnsi"/>
                <w:bCs/>
                <w:lang w:val="en-CA"/>
              </w:rPr>
              <w:t>2,441,206</w:t>
            </w:r>
            <w:r w:rsidRPr="00D80E01">
              <w:rPr>
                <w:rFonts w:eastAsiaTheme="minorHAnsi"/>
                <w:bCs/>
                <w:lang w:val="en-CA"/>
              </w:rPr>
              <w:t>)</w:t>
            </w:r>
          </w:p>
        </w:tc>
      </w:tr>
      <w:tr w:rsidRPr="008048F4" w:rsidR="00C67227" w:rsidTr="00F86798" w14:paraId="4D305196" w14:textId="77777777">
        <w:tc>
          <w:tcPr>
            <w:tcW w:w="388" w:type="dxa"/>
            <w:vAlign w:val="center"/>
          </w:tcPr>
          <w:p w:rsidRPr="008048F4" w:rsidR="00C67227" w:rsidP="00C67227" w:rsidRDefault="00C67227" w14:paraId="41A48333" w14:textId="77777777">
            <w:pPr>
              <w:pStyle w:val="BodyText"/>
              <w:spacing w:before="120" w:after="120"/>
              <w:jc w:val="center"/>
              <w:rPr>
                <w:rFonts w:eastAsiaTheme="minorHAnsi"/>
                <w:b/>
                <w:lang w:val="en-CA"/>
              </w:rPr>
            </w:pPr>
            <w:r w:rsidRPr="008048F4">
              <w:rPr>
                <w:rFonts w:eastAsiaTheme="minorHAnsi"/>
                <w:b/>
                <w:lang w:val="en-CA"/>
              </w:rPr>
              <w:t>F</w:t>
            </w:r>
          </w:p>
        </w:tc>
        <w:tc>
          <w:tcPr>
            <w:tcW w:w="5022" w:type="dxa"/>
            <w:vAlign w:val="center"/>
          </w:tcPr>
          <w:p w:rsidRPr="008048F4" w:rsidR="00C67227" w:rsidP="00C67227" w:rsidRDefault="00C67227" w14:paraId="5F4A197C" w14:textId="40892029">
            <w:pPr>
              <w:pStyle w:val="BodyText"/>
              <w:spacing w:before="120" w:after="120"/>
              <w:jc w:val="left"/>
              <w:rPr>
                <w:rFonts w:eastAsiaTheme="minorHAnsi"/>
                <w:b/>
                <w:lang w:val="en-CA"/>
              </w:rPr>
            </w:pPr>
            <w:r w:rsidRPr="008048F4">
              <w:rPr>
                <w:rFonts w:eastAsiaTheme="minorHAnsi"/>
                <w:b/>
                <w:lang w:val="en-CA"/>
              </w:rPr>
              <w:t>Additional sources of funding</w:t>
            </w:r>
            <w:r w:rsidRPr="001C28CC" w:rsidR="001C28CC">
              <w:rPr>
                <w:rFonts w:eastAsiaTheme="minorHAnsi"/>
                <w:b/>
                <w:vertAlign w:val="superscript"/>
                <w:lang w:val="en-CA"/>
              </w:rPr>
              <w:t>(3)</w:t>
            </w:r>
          </w:p>
        </w:tc>
        <w:tc>
          <w:tcPr>
            <w:tcW w:w="2155" w:type="dxa"/>
            <w:vAlign w:val="center"/>
          </w:tcPr>
          <w:p w:rsidRPr="008048F4" w:rsidR="00C67227" w:rsidP="00C67227" w:rsidRDefault="00C67227" w14:paraId="38C0A1B5" w14:textId="1B845D51">
            <w:pPr>
              <w:pStyle w:val="BodyText"/>
              <w:spacing w:before="120" w:after="120"/>
              <w:jc w:val="center"/>
              <w:rPr>
                <w:rFonts w:eastAsiaTheme="minorHAnsi"/>
                <w:bCs/>
                <w:lang w:val="en-CA"/>
              </w:rPr>
            </w:pPr>
            <w:r>
              <w:rPr>
                <w:rFonts w:eastAsiaTheme="minorHAnsi"/>
                <w:bCs/>
                <w:lang w:val="en-CA"/>
              </w:rPr>
              <w:t>$2,000,000</w:t>
            </w:r>
          </w:p>
        </w:tc>
        <w:tc>
          <w:tcPr>
            <w:tcW w:w="1795" w:type="dxa"/>
            <w:vAlign w:val="center"/>
          </w:tcPr>
          <w:p w:rsidRPr="008048F4" w:rsidR="00C67227" w:rsidP="00C67227" w:rsidRDefault="00C67227" w14:paraId="510879AA" w14:textId="58F9B950">
            <w:pPr>
              <w:pStyle w:val="BodyText"/>
              <w:spacing w:before="120" w:after="120"/>
              <w:jc w:val="center"/>
              <w:rPr>
                <w:rFonts w:eastAsiaTheme="minorHAnsi"/>
                <w:bCs/>
                <w:lang w:val="en-CA"/>
              </w:rPr>
            </w:pPr>
            <w:r>
              <w:rPr>
                <w:rFonts w:eastAsiaTheme="minorHAnsi"/>
                <w:bCs/>
                <w:lang w:val="en-CA"/>
              </w:rPr>
              <w:t>$2,000,000</w:t>
            </w:r>
          </w:p>
        </w:tc>
      </w:tr>
      <w:tr w:rsidRPr="008048F4" w:rsidR="00C67227" w:rsidTr="00F86798" w14:paraId="694CE36B" w14:textId="77777777">
        <w:tc>
          <w:tcPr>
            <w:tcW w:w="388" w:type="dxa"/>
            <w:vAlign w:val="center"/>
          </w:tcPr>
          <w:p w:rsidRPr="008048F4" w:rsidR="00C67227" w:rsidP="00C67227" w:rsidRDefault="00C67227" w14:paraId="51B6D7BC" w14:textId="77777777">
            <w:pPr>
              <w:pStyle w:val="BodyText"/>
              <w:spacing w:before="120" w:after="120"/>
              <w:jc w:val="center"/>
              <w:rPr>
                <w:rFonts w:eastAsiaTheme="minorHAnsi"/>
                <w:b/>
                <w:lang w:val="en-CA"/>
              </w:rPr>
            </w:pPr>
            <w:r w:rsidRPr="008048F4">
              <w:rPr>
                <w:rFonts w:eastAsiaTheme="minorHAnsi"/>
                <w:b/>
                <w:lang w:val="en-CA"/>
              </w:rPr>
              <w:t>G</w:t>
            </w:r>
          </w:p>
        </w:tc>
        <w:tc>
          <w:tcPr>
            <w:tcW w:w="5022" w:type="dxa"/>
            <w:vAlign w:val="center"/>
          </w:tcPr>
          <w:p w:rsidRPr="008048F4" w:rsidR="00C67227" w:rsidP="00C67227" w:rsidRDefault="00C67227" w14:paraId="6E7F24E1" w14:textId="77777777">
            <w:pPr>
              <w:pStyle w:val="BodyText"/>
              <w:spacing w:before="120" w:after="120"/>
              <w:jc w:val="left"/>
              <w:rPr>
                <w:rFonts w:eastAsiaTheme="minorHAnsi"/>
                <w:b/>
                <w:lang w:val="en-CA"/>
              </w:rPr>
            </w:pPr>
            <w:r w:rsidRPr="008048F4">
              <w:rPr>
                <w:rFonts w:eastAsiaTheme="minorHAnsi"/>
                <w:b/>
                <w:lang w:val="en-CA"/>
              </w:rPr>
              <w:t>Total available funds:</w:t>
            </w:r>
            <w:r w:rsidRPr="008048F4">
              <w:rPr>
                <w:rFonts w:eastAsiaTheme="minorHAnsi"/>
                <w:b/>
                <w:lang w:val="en-CA"/>
              </w:rPr>
              <w:br/>
              <w:t>G = D+E+F</w:t>
            </w:r>
          </w:p>
        </w:tc>
        <w:tc>
          <w:tcPr>
            <w:tcW w:w="2155" w:type="dxa"/>
            <w:vAlign w:val="center"/>
          </w:tcPr>
          <w:p w:rsidRPr="008048F4" w:rsidR="00C67227" w:rsidP="00C67227" w:rsidRDefault="00C67227" w14:paraId="1EB6C6EC" w14:textId="66ED8891">
            <w:pPr>
              <w:pStyle w:val="BodyText"/>
              <w:spacing w:before="120" w:after="120"/>
              <w:jc w:val="center"/>
              <w:rPr>
                <w:rFonts w:eastAsiaTheme="minorHAnsi"/>
                <w:bCs/>
                <w:lang w:val="en-CA"/>
              </w:rPr>
            </w:pPr>
            <w:r w:rsidRPr="00D80E01">
              <w:rPr>
                <w:rFonts w:eastAsiaTheme="minorHAnsi"/>
                <w:bCs/>
                <w:lang w:val="en-CA"/>
              </w:rPr>
              <w:t>$</w:t>
            </w:r>
            <w:r>
              <w:t>500,274</w:t>
            </w:r>
          </w:p>
        </w:tc>
        <w:tc>
          <w:tcPr>
            <w:tcW w:w="1795" w:type="dxa"/>
            <w:vAlign w:val="center"/>
          </w:tcPr>
          <w:p w:rsidRPr="008048F4" w:rsidR="00C67227" w:rsidP="00C67227" w:rsidRDefault="00C67227" w14:paraId="64FA16E3" w14:textId="40E60ABA">
            <w:pPr>
              <w:pStyle w:val="BodyText"/>
              <w:spacing w:before="120" w:after="120"/>
              <w:jc w:val="center"/>
              <w:rPr>
                <w:rFonts w:eastAsiaTheme="minorHAnsi"/>
                <w:bCs/>
                <w:lang w:val="en-CA"/>
              </w:rPr>
            </w:pPr>
            <w:r w:rsidRPr="00D80E01">
              <w:rPr>
                <w:rFonts w:eastAsiaTheme="minorHAnsi"/>
                <w:bCs/>
                <w:lang w:val="en-CA"/>
              </w:rPr>
              <w:t>$</w:t>
            </w:r>
            <w:r>
              <w:rPr>
                <w:bCs/>
                <w:lang w:val="en-CA"/>
              </w:rPr>
              <w:t>3</w:t>
            </w:r>
            <w:r>
              <w:t>,245,274</w:t>
            </w:r>
          </w:p>
        </w:tc>
      </w:tr>
    </w:tbl>
    <w:p w:rsidRPr="00D80E01" w:rsidR="00BF662A" w:rsidP="00BF662A" w:rsidRDefault="00BF662A" w14:paraId="4E301EF2" w14:textId="7FFDAACB">
      <w:pPr>
        <w:pStyle w:val="BodyText"/>
        <w:spacing w:after="0"/>
        <w:rPr>
          <w:b/>
          <w:bCs/>
          <w:sz w:val="20"/>
          <w:szCs w:val="22"/>
          <w:lang w:val="en-CA"/>
        </w:rPr>
      </w:pPr>
      <w:r w:rsidRPr="00D80E01">
        <w:rPr>
          <w:b/>
          <w:bCs/>
          <w:sz w:val="20"/>
          <w:szCs w:val="22"/>
          <w:lang w:val="en-CA"/>
        </w:rPr>
        <w:t>Notes:</w:t>
      </w:r>
    </w:p>
    <w:p w:rsidRPr="00D80E01" w:rsidR="0053179D" w:rsidP="00E02955" w:rsidRDefault="0053179D" w14:paraId="3ED2B217" w14:textId="0A950B01">
      <w:pPr>
        <w:pStyle w:val="BodyText"/>
        <w:numPr>
          <w:ilvl w:val="0"/>
          <w:numId w:val="34"/>
        </w:numPr>
        <w:spacing w:after="0"/>
        <w:rPr>
          <w:sz w:val="20"/>
          <w:szCs w:val="22"/>
          <w:lang w:val="en-CA"/>
        </w:rPr>
      </w:pPr>
      <w:r w:rsidRPr="00D80E01">
        <w:rPr>
          <w:sz w:val="20"/>
          <w:szCs w:val="22"/>
          <w:lang w:val="en-CA"/>
        </w:rPr>
        <w:t>The w</w:t>
      </w:r>
      <w:r w:rsidRPr="00D80E01" w:rsidR="00E02955">
        <w:rPr>
          <w:sz w:val="20"/>
          <w:szCs w:val="22"/>
          <w:lang w:val="en-CA"/>
        </w:rPr>
        <w:t xml:space="preserve">orking capital figures represent management's best estimate as at </w:t>
      </w:r>
      <w:r w:rsidRPr="00527C1A" w:rsidR="00527C1A">
        <w:rPr>
          <w:sz w:val="20"/>
          <w:szCs w:val="22"/>
          <w:lang w:val="en-CA"/>
        </w:rPr>
        <w:t>February 29, 2024</w:t>
      </w:r>
      <w:r w:rsidRPr="00D80E01" w:rsidR="00E02955">
        <w:rPr>
          <w:sz w:val="20"/>
          <w:szCs w:val="22"/>
          <w:lang w:val="en-CA"/>
        </w:rPr>
        <w:t>, are unaudited, and are subject to change including as a result of normal quarterly accounting and review procedures.</w:t>
      </w:r>
      <w:r w:rsidRPr="00D80E01">
        <w:rPr>
          <w:sz w:val="20"/>
          <w:szCs w:val="22"/>
          <w:lang w:val="en-CA"/>
        </w:rPr>
        <w:t xml:space="preserve"> </w:t>
      </w:r>
    </w:p>
    <w:p w:rsidR="00BF662A" w:rsidP="0053179D" w:rsidRDefault="0053179D" w14:paraId="55131418" w14:textId="58820067">
      <w:pPr>
        <w:pStyle w:val="BodyText"/>
        <w:numPr>
          <w:ilvl w:val="0"/>
          <w:numId w:val="34"/>
        </w:numPr>
        <w:spacing w:after="0"/>
        <w:rPr>
          <w:sz w:val="20"/>
          <w:szCs w:val="22"/>
          <w:lang w:val="en-CA"/>
        </w:rPr>
      </w:pPr>
      <w:r w:rsidRPr="00D80E01">
        <w:rPr>
          <w:sz w:val="20"/>
          <w:szCs w:val="22"/>
          <w:lang w:val="en-CA"/>
        </w:rPr>
        <w:t>The working capital figures exclude an aggregate principal amount of $2,740,000 convertible debentures of the Company</w:t>
      </w:r>
      <w:r w:rsidRPr="00D80E01" w:rsidR="00C64A5B">
        <w:rPr>
          <w:sz w:val="20"/>
          <w:szCs w:val="22"/>
          <w:lang w:val="en-CA"/>
        </w:rPr>
        <w:t xml:space="preserve"> (the "</w:t>
      </w:r>
      <w:r w:rsidRPr="00D80E01" w:rsidR="00C64A5B">
        <w:rPr>
          <w:b/>
          <w:bCs/>
          <w:sz w:val="20"/>
          <w:szCs w:val="22"/>
          <w:lang w:val="en-CA"/>
        </w:rPr>
        <w:t>Convertible Debentures</w:t>
      </w:r>
      <w:r w:rsidRPr="00D80E01" w:rsidR="00C64A5B">
        <w:rPr>
          <w:sz w:val="20"/>
          <w:szCs w:val="22"/>
          <w:lang w:val="en-CA"/>
        </w:rPr>
        <w:t>"),</w:t>
      </w:r>
      <w:r w:rsidRPr="00D80E01">
        <w:rPr>
          <w:sz w:val="20"/>
          <w:szCs w:val="22"/>
          <w:lang w:val="en-CA"/>
        </w:rPr>
        <w:t xml:space="preserve"> maturing on December 31, 2024</w:t>
      </w:r>
      <w:r w:rsidRPr="00D80E01" w:rsidR="00250191">
        <w:rPr>
          <w:sz w:val="20"/>
          <w:szCs w:val="22"/>
          <w:lang w:val="en-CA"/>
        </w:rPr>
        <w:t>,</w:t>
      </w:r>
      <w:r w:rsidRPr="00D80E01">
        <w:rPr>
          <w:sz w:val="20"/>
          <w:szCs w:val="22"/>
          <w:lang w:val="en-CA"/>
        </w:rPr>
        <w:t xml:space="preserve"> </w:t>
      </w:r>
      <w:r w:rsidRPr="00D80E01" w:rsidR="00C64A5B">
        <w:rPr>
          <w:sz w:val="20"/>
          <w:szCs w:val="22"/>
          <w:lang w:val="en-CA"/>
        </w:rPr>
        <w:t xml:space="preserve">and </w:t>
      </w:r>
      <w:r w:rsidRPr="00D80E01">
        <w:rPr>
          <w:sz w:val="20"/>
          <w:szCs w:val="22"/>
          <w:lang w:val="en-CA"/>
        </w:rPr>
        <w:t xml:space="preserve">convertible into </w:t>
      </w:r>
      <w:r w:rsidRPr="00D80E01">
        <w:rPr>
          <w:sz w:val="20"/>
          <w:szCs w:val="22"/>
          <w:lang w:val="en-CA"/>
        </w:rPr>
        <w:lastRenderedPageBreak/>
        <w:t xml:space="preserve">Common Shares at $0.15 per Common Share, </w:t>
      </w:r>
      <w:r w:rsidRPr="00D80E01" w:rsidR="00790DB1">
        <w:rPr>
          <w:sz w:val="20"/>
          <w:szCs w:val="22"/>
          <w:lang w:val="en-CA"/>
        </w:rPr>
        <w:t xml:space="preserve">which the Company anticipates will be settled by issuing </w:t>
      </w:r>
      <w:r w:rsidRPr="00D80E01">
        <w:rPr>
          <w:sz w:val="20"/>
          <w:szCs w:val="22"/>
          <w:lang w:val="en-CA"/>
        </w:rPr>
        <w:t>Common Shares</w:t>
      </w:r>
      <w:r w:rsidRPr="00D80E01" w:rsidR="00790DB1">
        <w:rPr>
          <w:sz w:val="20"/>
          <w:szCs w:val="22"/>
          <w:lang w:val="en-CA"/>
        </w:rPr>
        <w:t xml:space="preserve"> to holders thereof</w:t>
      </w:r>
      <w:r w:rsidRPr="00D80E01">
        <w:rPr>
          <w:sz w:val="20"/>
          <w:szCs w:val="22"/>
          <w:lang w:val="en-CA"/>
        </w:rPr>
        <w:t>.</w:t>
      </w:r>
      <w:r w:rsidRPr="00D80E01" w:rsidR="00207292">
        <w:rPr>
          <w:sz w:val="20"/>
          <w:szCs w:val="22"/>
          <w:lang w:val="en-CA"/>
        </w:rPr>
        <w:t xml:space="preserve"> </w:t>
      </w:r>
    </w:p>
    <w:p w:rsidRPr="001C28CC" w:rsidR="001C28CC" w:rsidP="0053179D" w:rsidRDefault="001C28CC" w14:paraId="3CEFEB51" w14:textId="17BE15A9">
      <w:pPr>
        <w:pStyle w:val="BodyText"/>
        <w:numPr>
          <w:ilvl w:val="0"/>
          <w:numId w:val="34"/>
        </w:numPr>
        <w:spacing w:after="0"/>
        <w:rPr>
          <w:sz w:val="20"/>
          <w:szCs w:val="22"/>
          <w:lang w:val="en-CA"/>
        </w:rPr>
      </w:pPr>
      <w:r w:rsidRPr="001C28CC">
        <w:rPr>
          <w:sz w:val="20"/>
          <w:szCs w:val="22"/>
          <w:lang w:val="en-CA"/>
        </w:rPr>
        <w:t>Additional sources of funding includes the projected net cash flow from the Company's operations over the next 12 months. See the "Forward-Looking Statements" section of this Offering Document.</w:t>
      </w:r>
    </w:p>
    <w:p w:rsidR="0046094C" w:rsidP="00797642" w:rsidRDefault="00162999" w14:paraId="447F480B" w14:textId="7D129D79">
      <w:pPr>
        <w:pStyle w:val="StandardL2"/>
        <w:spacing w:before="240"/>
        <w:rPr>
          <w:lang w:val="en-CA"/>
        </w:rPr>
      </w:pPr>
      <w:r w:rsidRPr="00D80E01">
        <w:rPr>
          <w:lang w:val="en-CA"/>
        </w:rPr>
        <w:t>How will we use the available funds?</w:t>
      </w:r>
    </w:p>
    <w:tbl>
      <w:tblPr>
        <w:tblStyle w:val="TableGrid"/>
        <w:tblW w:w="9360" w:type="dxa"/>
        <w:tblBorders>
          <w:left w:val="none" w:color="auto" w:sz="0" w:space="0"/>
          <w:right w:val="none" w:color="auto" w:sz="0" w:space="0"/>
          <w:insideV w:val="none" w:color="auto" w:sz="0" w:space="0"/>
        </w:tblBorders>
        <w:tblLook w:val="04A0" w:firstRow="1" w:lastRow="0" w:firstColumn="1" w:lastColumn="0" w:noHBand="0" w:noVBand="1"/>
      </w:tblPr>
      <w:tblGrid>
        <w:gridCol w:w="5114"/>
        <w:gridCol w:w="2065"/>
        <w:gridCol w:w="2181"/>
      </w:tblGrid>
      <w:tr w:rsidRPr="008048F4" w:rsidR="00B8362D" w:rsidTr="00AC07F2" w14:paraId="5F7EDC28" w14:textId="77777777">
        <w:tc>
          <w:tcPr>
            <w:tcW w:w="5114" w:type="dxa"/>
            <w:vAlign w:val="center"/>
          </w:tcPr>
          <w:p w:rsidRPr="008048F4" w:rsidR="00B8362D" w:rsidP="00AC07F2" w:rsidRDefault="00B8362D" w14:paraId="59A054DD" w14:textId="77777777">
            <w:pPr>
              <w:pStyle w:val="BodyText"/>
              <w:keepNext/>
              <w:spacing w:before="120" w:after="120"/>
              <w:jc w:val="center"/>
              <w:rPr>
                <w:rFonts w:eastAsiaTheme="minorHAnsi"/>
                <w:b/>
                <w:lang w:val="en-CA"/>
              </w:rPr>
            </w:pPr>
            <w:r w:rsidRPr="008048F4">
              <w:rPr>
                <w:rFonts w:eastAsiaTheme="minorHAnsi"/>
                <w:b/>
                <w:lang w:val="en-CA"/>
              </w:rPr>
              <w:t>Description of intended use of available funds listed in order of priority</w:t>
            </w:r>
          </w:p>
        </w:tc>
        <w:tc>
          <w:tcPr>
            <w:tcW w:w="2065" w:type="dxa"/>
            <w:vAlign w:val="center"/>
          </w:tcPr>
          <w:p w:rsidRPr="008048F4" w:rsidR="00B8362D" w:rsidP="00AC07F2" w:rsidRDefault="00B8362D" w14:paraId="76E482DD" w14:textId="77777777">
            <w:pPr>
              <w:pStyle w:val="BodyText"/>
              <w:keepNext/>
              <w:spacing w:before="120" w:after="120"/>
              <w:jc w:val="center"/>
              <w:rPr>
                <w:rFonts w:eastAsiaTheme="minorHAnsi"/>
                <w:b/>
                <w:lang w:val="en-CA"/>
              </w:rPr>
            </w:pPr>
            <w:r w:rsidRPr="008048F4">
              <w:rPr>
                <w:rFonts w:eastAsiaTheme="minorHAnsi"/>
                <w:b/>
                <w:lang w:val="en-CA"/>
              </w:rPr>
              <w:t>Assuming Minimum Offering Only</w:t>
            </w:r>
          </w:p>
        </w:tc>
        <w:tc>
          <w:tcPr>
            <w:tcW w:w="2181" w:type="dxa"/>
            <w:vAlign w:val="center"/>
          </w:tcPr>
          <w:p w:rsidRPr="008048F4" w:rsidR="00B8362D" w:rsidP="00AC07F2" w:rsidRDefault="00B8362D" w14:paraId="377D5DA9" w14:textId="77777777">
            <w:pPr>
              <w:pStyle w:val="BodyText"/>
              <w:keepNext/>
              <w:spacing w:before="120" w:after="120"/>
              <w:jc w:val="center"/>
              <w:rPr>
                <w:rFonts w:eastAsiaTheme="minorHAnsi"/>
                <w:b/>
                <w:lang w:val="en-CA"/>
              </w:rPr>
            </w:pPr>
            <w:r w:rsidRPr="008048F4">
              <w:rPr>
                <w:rFonts w:eastAsiaTheme="minorHAnsi"/>
                <w:b/>
                <w:lang w:val="en-CA"/>
              </w:rPr>
              <w:t>Assuming 100% of Offering</w:t>
            </w:r>
          </w:p>
        </w:tc>
      </w:tr>
      <w:tr w:rsidRPr="008048F4" w:rsidR="001C28CC" w:rsidTr="00AC07F2" w14:paraId="2EE8B546" w14:textId="77777777">
        <w:tc>
          <w:tcPr>
            <w:tcW w:w="5114" w:type="dxa"/>
            <w:vAlign w:val="center"/>
          </w:tcPr>
          <w:p w:rsidRPr="008048F4" w:rsidR="001C28CC" w:rsidP="001C28CC" w:rsidRDefault="001C28CC" w14:paraId="20D0DA7A" w14:textId="77777777">
            <w:pPr>
              <w:pStyle w:val="BodyText"/>
              <w:keepNext/>
              <w:spacing w:before="120" w:after="120"/>
              <w:jc w:val="center"/>
              <w:rPr>
                <w:rFonts w:eastAsiaTheme="minorHAnsi"/>
                <w:bCs/>
                <w:lang w:val="en-CA"/>
              </w:rPr>
            </w:pPr>
            <w:r w:rsidRPr="008048F4">
              <w:rPr>
                <w:rFonts w:eastAsiaTheme="minorHAnsi"/>
                <w:bCs/>
                <w:lang w:val="en-CA"/>
              </w:rPr>
              <w:t>Working capital purposes</w:t>
            </w:r>
          </w:p>
        </w:tc>
        <w:tc>
          <w:tcPr>
            <w:tcW w:w="2065" w:type="dxa"/>
            <w:vAlign w:val="center"/>
          </w:tcPr>
          <w:p w:rsidRPr="00AE3855" w:rsidR="001C28CC" w:rsidP="001C28CC" w:rsidRDefault="001C28CC" w14:paraId="075A3C09" w14:textId="2540064A">
            <w:pPr>
              <w:pStyle w:val="BodyText"/>
              <w:keepNext/>
              <w:spacing w:before="120" w:after="120"/>
              <w:jc w:val="center"/>
              <w:rPr>
                <w:rFonts w:eastAsiaTheme="minorHAnsi"/>
                <w:bCs/>
                <w:lang w:val="en-CA"/>
              </w:rPr>
            </w:pPr>
            <w:r w:rsidRPr="00D80E01">
              <w:rPr>
                <w:rFonts w:eastAsiaTheme="minorHAnsi"/>
                <w:bCs/>
                <w:lang w:val="en-CA"/>
              </w:rPr>
              <w:t>$</w:t>
            </w:r>
            <w:r>
              <w:t>500,274</w:t>
            </w:r>
          </w:p>
        </w:tc>
        <w:tc>
          <w:tcPr>
            <w:tcW w:w="2181" w:type="dxa"/>
            <w:vAlign w:val="center"/>
          </w:tcPr>
          <w:p w:rsidRPr="00AE3855" w:rsidR="001C28CC" w:rsidP="001C28CC" w:rsidRDefault="001C28CC" w14:paraId="2BBDE436" w14:textId="7D97F79A">
            <w:pPr>
              <w:pStyle w:val="BodyText"/>
              <w:keepNext/>
              <w:spacing w:before="120" w:after="120"/>
              <w:jc w:val="center"/>
              <w:rPr>
                <w:rFonts w:eastAsiaTheme="minorHAnsi"/>
                <w:bCs/>
                <w:lang w:val="en-CA"/>
              </w:rPr>
            </w:pPr>
            <w:r w:rsidRPr="00D80E01">
              <w:rPr>
                <w:rFonts w:eastAsiaTheme="minorHAnsi"/>
                <w:bCs/>
                <w:lang w:val="en-CA"/>
              </w:rPr>
              <w:t>$</w:t>
            </w:r>
            <w:r>
              <w:t>2,745,274</w:t>
            </w:r>
          </w:p>
        </w:tc>
      </w:tr>
      <w:tr w:rsidRPr="008048F4" w:rsidR="001C28CC" w:rsidTr="00AC07F2" w14:paraId="5D39DE83" w14:textId="77777777">
        <w:tc>
          <w:tcPr>
            <w:tcW w:w="5114" w:type="dxa"/>
            <w:vAlign w:val="center"/>
          </w:tcPr>
          <w:p w:rsidRPr="008048F4" w:rsidR="001C28CC" w:rsidP="001C28CC" w:rsidRDefault="001C28CC" w14:paraId="307F071D" w14:textId="77777777">
            <w:pPr>
              <w:pStyle w:val="BodyText"/>
              <w:keepNext/>
              <w:spacing w:before="120" w:after="120"/>
              <w:jc w:val="center"/>
              <w:rPr>
                <w:rFonts w:eastAsiaTheme="minorHAnsi"/>
                <w:bCs/>
                <w:lang w:val="en-CA"/>
              </w:rPr>
            </w:pPr>
            <w:r w:rsidRPr="008048F4">
              <w:rPr>
                <w:rFonts w:eastAsiaTheme="minorHAnsi"/>
                <w:bCs/>
                <w:lang w:val="en-CA"/>
              </w:rPr>
              <w:t>Capital expenditures</w:t>
            </w:r>
          </w:p>
        </w:tc>
        <w:tc>
          <w:tcPr>
            <w:tcW w:w="2065" w:type="dxa"/>
            <w:vAlign w:val="center"/>
          </w:tcPr>
          <w:p w:rsidRPr="00AE3855" w:rsidR="001C28CC" w:rsidP="001C28CC" w:rsidRDefault="001C28CC" w14:paraId="14409E5B" w14:textId="665F12BE">
            <w:pPr>
              <w:pStyle w:val="BodyText"/>
              <w:keepNext/>
              <w:spacing w:before="120" w:after="120"/>
              <w:jc w:val="center"/>
              <w:rPr>
                <w:rFonts w:eastAsiaTheme="minorHAnsi"/>
                <w:bCs/>
                <w:lang w:val="en-CA"/>
              </w:rPr>
            </w:pPr>
            <w:r w:rsidRPr="00D80E01">
              <w:rPr>
                <w:rFonts w:eastAsiaTheme="minorHAnsi"/>
                <w:bCs/>
                <w:lang w:val="en-CA"/>
              </w:rPr>
              <w:t>$</w:t>
            </w:r>
            <w:r>
              <w:rPr>
                <w:rFonts w:eastAsiaTheme="minorHAnsi"/>
                <w:bCs/>
                <w:lang w:val="en-CA"/>
              </w:rPr>
              <w:t>0</w:t>
            </w:r>
          </w:p>
        </w:tc>
        <w:tc>
          <w:tcPr>
            <w:tcW w:w="2181" w:type="dxa"/>
            <w:vAlign w:val="center"/>
          </w:tcPr>
          <w:p w:rsidRPr="00AE3855" w:rsidR="001C28CC" w:rsidP="001C28CC" w:rsidRDefault="001C28CC" w14:paraId="0E07D317" w14:textId="1DAD1508">
            <w:pPr>
              <w:pStyle w:val="BodyText"/>
              <w:keepNext/>
              <w:spacing w:before="120" w:after="120"/>
              <w:jc w:val="center"/>
              <w:rPr>
                <w:rFonts w:eastAsiaTheme="minorHAnsi"/>
                <w:bCs/>
                <w:lang w:val="en-CA"/>
              </w:rPr>
            </w:pPr>
            <w:r w:rsidRPr="00D80E01">
              <w:rPr>
                <w:rFonts w:eastAsiaTheme="minorHAnsi"/>
                <w:bCs/>
                <w:lang w:val="en-CA"/>
              </w:rPr>
              <w:t>$</w:t>
            </w:r>
            <w:r>
              <w:t>500,000</w:t>
            </w:r>
          </w:p>
        </w:tc>
      </w:tr>
      <w:tr w:rsidRPr="008048F4" w:rsidR="001C28CC" w:rsidTr="00AC07F2" w14:paraId="1754C6AE" w14:textId="77777777">
        <w:tc>
          <w:tcPr>
            <w:tcW w:w="5114" w:type="dxa"/>
            <w:vAlign w:val="center"/>
          </w:tcPr>
          <w:p w:rsidRPr="008048F4" w:rsidR="001C28CC" w:rsidP="001C28CC" w:rsidRDefault="001C28CC" w14:paraId="101A3A88" w14:textId="77777777">
            <w:pPr>
              <w:pStyle w:val="BodyText"/>
              <w:spacing w:before="120" w:after="120"/>
              <w:jc w:val="center"/>
              <w:rPr>
                <w:rFonts w:eastAsiaTheme="minorHAnsi"/>
                <w:b/>
                <w:lang w:val="en-CA"/>
              </w:rPr>
            </w:pPr>
            <w:r w:rsidRPr="008048F4">
              <w:rPr>
                <w:rFonts w:eastAsiaTheme="minorHAnsi"/>
                <w:b/>
                <w:lang w:val="en-CA"/>
              </w:rPr>
              <w:t>Total:</w:t>
            </w:r>
          </w:p>
        </w:tc>
        <w:tc>
          <w:tcPr>
            <w:tcW w:w="2065" w:type="dxa"/>
            <w:vAlign w:val="center"/>
          </w:tcPr>
          <w:p w:rsidRPr="00AE3855" w:rsidR="001C28CC" w:rsidP="001C28CC" w:rsidRDefault="001C28CC" w14:paraId="59443F4F" w14:textId="437580F3">
            <w:pPr>
              <w:pStyle w:val="BodyText"/>
              <w:spacing w:before="120" w:after="120"/>
              <w:jc w:val="center"/>
              <w:rPr>
                <w:rFonts w:eastAsiaTheme="minorHAnsi"/>
                <w:bCs/>
                <w:lang w:val="en-CA"/>
              </w:rPr>
            </w:pPr>
            <w:r w:rsidRPr="00D80E01">
              <w:rPr>
                <w:rFonts w:eastAsiaTheme="minorHAnsi"/>
                <w:bCs/>
                <w:lang w:val="en-CA"/>
              </w:rPr>
              <w:t>$</w:t>
            </w:r>
            <w:r>
              <w:t>500,274</w:t>
            </w:r>
          </w:p>
        </w:tc>
        <w:tc>
          <w:tcPr>
            <w:tcW w:w="2181" w:type="dxa"/>
            <w:vAlign w:val="center"/>
          </w:tcPr>
          <w:p w:rsidRPr="00AE3855" w:rsidR="001C28CC" w:rsidP="001C28CC" w:rsidRDefault="001C28CC" w14:paraId="2A3D939D" w14:textId="02D36472">
            <w:pPr>
              <w:pStyle w:val="BodyText"/>
              <w:spacing w:before="120" w:after="120"/>
              <w:jc w:val="center"/>
              <w:rPr>
                <w:rFonts w:eastAsiaTheme="minorHAnsi"/>
                <w:bCs/>
                <w:lang w:val="en-CA"/>
              </w:rPr>
            </w:pPr>
            <w:r w:rsidRPr="00D80E01">
              <w:rPr>
                <w:rFonts w:eastAsiaTheme="minorHAnsi"/>
                <w:bCs/>
                <w:lang w:val="en-CA"/>
              </w:rPr>
              <w:t>$</w:t>
            </w:r>
            <w:r>
              <w:t>3,245,274</w:t>
            </w:r>
          </w:p>
        </w:tc>
      </w:tr>
    </w:tbl>
    <w:p w:rsidRPr="00D80E01" w:rsidR="00CD223D" w:rsidP="00F65FE3" w:rsidRDefault="00CD223D" w14:paraId="06CC7934" w14:textId="61439746">
      <w:pPr>
        <w:pStyle w:val="BodyText"/>
        <w:spacing w:before="240"/>
        <w:rPr>
          <w:lang w:val="en-CA"/>
        </w:rPr>
      </w:pPr>
      <w:r w:rsidRPr="00D80E01">
        <w:rPr>
          <w:lang w:val="en-CA"/>
        </w:rPr>
        <w:t>The above noted allocation represents the Company</w:t>
      </w:r>
      <w:r w:rsidRPr="00D80E01" w:rsidR="009A4F85">
        <w:rPr>
          <w:lang w:val="en-CA"/>
        </w:rPr>
        <w:t>'</w:t>
      </w:r>
      <w:r w:rsidRPr="00D80E01">
        <w:rPr>
          <w:lang w:val="en-CA"/>
        </w:rPr>
        <w:t>s intentions with respect to its use of available funds based on current knowledge, planning and expectations of management of the Company. Actual use of funds may differ from the estimates set forth above. There may be circumstances where for sound business reasons, the Company reallocates the use of available funds. Such uses will not include a significant acquisition, a restructuring transaction, or any transaction requiring approval of the Company</w:t>
      </w:r>
      <w:r w:rsidRPr="00D80E01" w:rsidR="009A4F85">
        <w:rPr>
          <w:lang w:val="en-CA"/>
        </w:rPr>
        <w:t>'</w:t>
      </w:r>
      <w:r w:rsidRPr="00D80E01">
        <w:rPr>
          <w:lang w:val="en-CA"/>
        </w:rPr>
        <w:t>s security holders.</w:t>
      </w:r>
    </w:p>
    <w:p w:rsidRPr="00D80E01" w:rsidR="00DF6A65" w:rsidP="00D4706C" w:rsidRDefault="00D4706C" w14:paraId="41EF6624" w14:textId="05982A42">
      <w:pPr>
        <w:pStyle w:val="BodyText"/>
        <w:rPr>
          <w:lang w:val="en-CA"/>
        </w:rPr>
      </w:pPr>
      <w:r w:rsidRPr="00D80E01">
        <w:rPr>
          <w:lang w:val="en-CA"/>
        </w:rPr>
        <w:t>The Company</w:t>
      </w:r>
      <w:r w:rsidRPr="00D80E01" w:rsidR="009A4F85">
        <w:rPr>
          <w:lang w:val="en-CA"/>
        </w:rPr>
        <w:t>'</w:t>
      </w:r>
      <w:r w:rsidRPr="00D80E01">
        <w:rPr>
          <w:lang w:val="en-CA"/>
        </w:rPr>
        <w:t>s most recently filed interim financial report included a going concern note. This Offering is not anticipated to address any uncertainties that affect the decision on whether a going concern is included in our next annual financial statements.</w:t>
      </w:r>
    </w:p>
    <w:p w:rsidRPr="00D80E01" w:rsidR="00032A86" w:rsidP="00032A86" w:rsidRDefault="00032A86" w14:paraId="4F0E569B" w14:textId="5EB1241A">
      <w:pPr>
        <w:pStyle w:val="StandardL2"/>
        <w:rPr>
          <w:lang w:val="en-CA"/>
        </w:rPr>
      </w:pPr>
      <w:r w:rsidRPr="00D80E01">
        <w:rPr>
          <w:lang w:val="en-CA"/>
        </w:rPr>
        <w:lastRenderedPageBreak/>
        <w:t>How have we used the other funds we have raised in the past 12 months?</w:t>
      </w:r>
    </w:p>
    <w:tbl>
      <w:tblPr>
        <w:tblStyle w:val="TableGrid"/>
        <w:tblW w:w="9360" w:type="dxa"/>
        <w:tblBorders>
          <w:left w:val="none" w:color="auto" w:sz="0" w:space="0"/>
          <w:right w:val="none" w:color="auto" w:sz="0" w:space="0"/>
          <w:insideV w:val="none" w:color="auto" w:sz="0" w:space="0"/>
        </w:tblBorders>
        <w:tblLook w:val="04A0" w:firstRow="1" w:lastRow="0" w:firstColumn="1" w:lastColumn="0" w:noHBand="0" w:noVBand="1"/>
      </w:tblPr>
      <w:tblGrid>
        <w:gridCol w:w="3120"/>
        <w:gridCol w:w="3120"/>
        <w:gridCol w:w="3120"/>
      </w:tblGrid>
      <w:tr w:rsidRPr="00D80E01" w:rsidR="005640F3" w:rsidTr="00366321" w14:paraId="05FBB9CA" w14:textId="77777777">
        <w:trPr>
          <w:cantSplit/>
        </w:trPr>
        <w:tc>
          <w:tcPr>
            <w:tcW w:w="3120" w:type="dxa"/>
            <w:vAlign w:val="center"/>
          </w:tcPr>
          <w:p w:rsidRPr="00D80E01" w:rsidR="00F640F8" w:rsidP="00366321" w:rsidRDefault="003174E7" w14:paraId="1E3894D1" w14:textId="7E6DB19E">
            <w:pPr>
              <w:pStyle w:val="BodyText"/>
              <w:keepNext/>
              <w:spacing w:before="120" w:after="120"/>
              <w:jc w:val="center"/>
              <w:rPr>
                <w:rFonts w:eastAsiaTheme="minorHAnsi"/>
                <w:b/>
                <w:lang w:val="en-CA"/>
              </w:rPr>
            </w:pPr>
            <w:r w:rsidRPr="00D80E01">
              <w:rPr>
                <w:rFonts w:eastAsiaTheme="minorHAnsi"/>
                <w:b/>
                <w:lang w:val="en-CA"/>
              </w:rPr>
              <w:t>Previous Financing Activity</w:t>
            </w:r>
          </w:p>
        </w:tc>
        <w:tc>
          <w:tcPr>
            <w:tcW w:w="3120" w:type="dxa"/>
            <w:vAlign w:val="center"/>
          </w:tcPr>
          <w:p w:rsidRPr="00D80E01" w:rsidR="00F640F8" w:rsidP="00366321" w:rsidRDefault="003174E7" w14:paraId="7BB1EA5E" w14:textId="47622625">
            <w:pPr>
              <w:pStyle w:val="BodyText"/>
              <w:keepNext/>
              <w:spacing w:before="120" w:after="120"/>
              <w:jc w:val="center"/>
              <w:rPr>
                <w:rFonts w:eastAsiaTheme="minorHAnsi"/>
                <w:b/>
                <w:lang w:val="en-CA"/>
              </w:rPr>
            </w:pPr>
            <w:r w:rsidRPr="00D80E01">
              <w:rPr>
                <w:rFonts w:eastAsiaTheme="minorHAnsi"/>
                <w:b/>
                <w:lang w:val="en-CA"/>
              </w:rPr>
              <w:t>Disclosed Use of Funds</w:t>
            </w:r>
          </w:p>
        </w:tc>
        <w:tc>
          <w:tcPr>
            <w:tcW w:w="3120" w:type="dxa"/>
            <w:vAlign w:val="center"/>
          </w:tcPr>
          <w:p w:rsidRPr="00D80E01" w:rsidR="00F640F8" w:rsidP="00366321" w:rsidRDefault="003174E7" w14:paraId="73790D2F" w14:textId="696279A8">
            <w:pPr>
              <w:pStyle w:val="BodyText"/>
              <w:keepNext/>
              <w:spacing w:before="120" w:after="120"/>
              <w:jc w:val="center"/>
              <w:rPr>
                <w:rFonts w:eastAsiaTheme="minorHAnsi"/>
                <w:b/>
                <w:lang w:val="en-CA"/>
              </w:rPr>
            </w:pPr>
            <w:r w:rsidRPr="00D80E01">
              <w:rPr>
                <w:rFonts w:eastAsiaTheme="minorHAnsi"/>
                <w:b/>
                <w:lang w:val="en-CA"/>
              </w:rPr>
              <w:t>Actual Use of Funds to Date</w:t>
            </w:r>
          </w:p>
        </w:tc>
      </w:tr>
      <w:tr w:rsidRPr="00D80E01" w:rsidR="00EC7D0F" w:rsidTr="00FE3E2C" w14:paraId="598EA161" w14:textId="77777777">
        <w:trPr>
          <w:cantSplit/>
        </w:trPr>
        <w:tc>
          <w:tcPr>
            <w:tcW w:w="3120" w:type="dxa"/>
          </w:tcPr>
          <w:p w:rsidRPr="00D80E01" w:rsidR="00EC7D0F" w:rsidP="00FE3E2C" w:rsidRDefault="00EC7D0F" w14:paraId="47CD348A" w14:textId="61B07B1F">
            <w:pPr>
              <w:pStyle w:val="BodyText"/>
              <w:spacing w:before="120" w:after="120"/>
              <w:jc w:val="left"/>
              <w:rPr>
                <w:rFonts w:eastAsiaTheme="minorHAnsi"/>
                <w:bCs/>
                <w:lang w:val="en-CA"/>
              </w:rPr>
            </w:pPr>
            <w:r w:rsidRPr="00D80E01">
              <w:rPr>
                <w:rFonts w:eastAsiaTheme="minorHAnsi"/>
                <w:bCs/>
                <w:lang w:val="en-CA"/>
              </w:rPr>
              <w:t xml:space="preserve">The </w:t>
            </w:r>
            <w:r w:rsidRPr="00D80E01" w:rsidR="006D76DF">
              <w:rPr>
                <w:rFonts w:eastAsiaTheme="minorHAnsi"/>
                <w:bCs/>
                <w:lang w:val="en-CA"/>
              </w:rPr>
              <w:t xml:space="preserve">June 16, 2023 </w:t>
            </w:r>
            <w:r w:rsidRPr="00D80E01">
              <w:rPr>
                <w:rFonts w:eastAsiaTheme="minorHAnsi"/>
                <w:bCs/>
                <w:lang w:val="en-CA"/>
              </w:rPr>
              <w:t>Private Placement of 37,230,000 Common Shares at a price per Common Share of $0.0579 for aggregate gross proceeds</w:t>
            </w:r>
            <w:r w:rsidR="00C4621E">
              <w:rPr>
                <w:rFonts w:eastAsiaTheme="minorHAnsi"/>
                <w:bCs/>
                <w:lang w:val="en-CA"/>
              </w:rPr>
              <w:t xml:space="preserve"> to the Company</w:t>
            </w:r>
            <w:r w:rsidRPr="00D80E01">
              <w:rPr>
                <w:rFonts w:eastAsiaTheme="minorHAnsi"/>
                <w:bCs/>
                <w:lang w:val="en-CA"/>
              </w:rPr>
              <w:t xml:space="preserve"> of $2,155,617</w:t>
            </w:r>
            <w:r w:rsidRPr="00D80E01" w:rsidR="00266AC7">
              <w:rPr>
                <w:rFonts w:eastAsiaTheme="minorHAnsi"/>
                <w:bCs/>
                <w:lang w:val="en-CA"/>
              </w:rPr>
              <w:t>.</w:t>
            </w:r>
          </w:p>
        </w:tc>
        <w:tc>
          <w:tcPr>
            <w:tcW w:w="3120" w:type="dxa"/>
          </w:tcPr>
          <w:p w:rsidRPr="00D80E01" w:rsidR="00EC7D0F" w:rsidP="00FE3E2C" w:rsidRDefault="00EC7D0F" w14:paraId="266570C5" w14:textId="7C820A47">
            <w:pPr>
              <w:pStyle w:val="BodyText"/>
              <w:spacing w:before="120" w:after="120"/>
              <w:jc w:val="left"/>
              <w:rPr>
                <w:rFonts w:eastAsiaTheme="minorHAnsi"/>
                <w:bCs/>
                <w:lang w:val="en-CA"/>
              </w:rPr>
            </w:pPr>
            <w:r w:rsidRPr="00D80E01">
              <w:rPr>
                <w:rFonts w:eastAsiaTheme="minorHAnsi"/>
                <w:bCs/>
                <w:lang w:val="en-CA"/>
              </w:rPr>
              <w:t xml:space="preserve">Satisfaction of the Company's existing obligations under its license to manufacture and sell Wana™ branded products in Canada and for its costs and expenses related to the manufacture and supply </w:t>
            </w:r>
            <w:r w:rsidRPr="00D80E01" w:rsidR="000A0274">
              <w:rPr>
                <w:rFonts w:eastAsiaTheme="minorHAnsi"/>
                <w:bCs/>
                <w:lang w:val="en-CA"/>
              </w:rPr>
              <w:t xml:space="preserve">of </w:t>
            </w:r>
            <w:r w:rsidRPr="00D80E01">
              <w:rPr>
                <w:rFonts w:eastAsiaTheme="minorHAnsi"/>
                <w:bCs/>
                <w:lang w:val="en-CA"/>
              </w:rPr>
              <w:t>Wana™ branded products under the contract manufacturing agreement.</w:t>
            </w:r>
          </w:p>
        </w:tc>
        <w:tc>
          <w:tcPr>
            <w:tcW w:w="3120" w:type="dxa"/>
          </w:tcPr>
          <w:p w:rsidRPr="00D80E01" w:rsidR="00EC7D0F" w:rsidP="00FE3E2C" w:rsidRDefault="000A0274" w14:paraId="1CA3F8DB" w14:textId="2129A26B">
            <w:pPr>
              <w:pStyle w:val="BodyText"/>
              <w:spacing w:before="120" w:after="120"/>
              <w:jc w:val="left"/>
              <w:rPr>
                <w:rFonts w:eastAsiaTheme="minorHAnsi"/>
                <w:bCs/>
                <w:lang w:val="en-CA"/>
              </w:rPr>
            </w:pPr>
            <w:r w:rsidRPr="00D80E01">
              <w:rPr>
                <w:rFonts w:eastAsiaTheme="minorHAnsi"/>
                <w:bCs/>
                <w:lang w:val="en-CA"/>
              </w:rPr>
              <w:t xml:space="preserve">$2,155,617 </w:t>
            </w:r>
            <w:r w:rsidRPr="00D80E01" w:rsidR="005D1B2E">
              <w:rPr>
                <w:rFonts w:eastAsiaTheme="minorHAnsi"/>
                <w:bCs/>
                <w:lang w:val="en-CA"/>
              </w:rPr>
              <w:t xml:space="preserve">has been used in connection with the satisfaction of the Company's obligations under its license to manufacture and sell Wana™ branded products in Canada and for its costs and expenses under the contract manufacturing agreement. </w:t>
            </w:r>
            <w:r w:rsidRPr="00D80E01" w:rsidR="00D21662">
              <w:rPr>
                <w:rFonts w:eastAsiaTheme="minorHAnsi"/>
                <w:bCs/>
                <w:lang w:val="en-CA"/>
              </w:rPr>
              <w:t>There has been no</w:t>
            </w:r>
            <w:r w:rsidRPr="00D80E01" w:rsidR="005D1B2E">
              <w:rPr>
                <w:rFonts w:eastAsiaTheme="minorHAnsi"/>
                <w:bCs/>
                <w:lang w:val="en-CA"/>
              </w:rPr>
              <w:t xml:space="preserve"> variance from </w:t>
            </w:r>
            <w:r w:rsidRPr="00D80E01" w:rsidR="00572D5F">
              <w:rPr>
                <w:rFonts w:eastAsiaTheme="minorHAnsi"/>
                <w:bCs/>
                <w:lang w:val="en-CA"/>
              </w:rPr>
              <w:t xml:space="preserve">the </w:t>
            </w:r>
            <w:r w:rsidRPr="00D80E01" w:rsidR="005D1B2E">
              <w:rPr>
                <w:rFonts w:eastAsiaTheme="minorHAnsi"/>
                <w:bCs/>
                <w:lang w:val="en-CA"/>
              </w:rPr>
              <w:t>disclosed use of funds.</w:t>
            </w:r>
          </w:p>
        </w:tc>
      </w:tr>
      <w:tr w:rsidRPr="00D80E01" w:rsidR="00F82B0B" w:rsidTr="00FE3E2C" w14:paraId="61000BF4" w14:textId="77777777">
        <w:trPr>
          <w:cantSplit/>
        </w:trPr>
        <w:tc>
          <w:tcPr>
            <w:tcW w:w="3120" w:type="dxa"/>
          </w:tcPr>
          <w:p w:rsidRPr="00D80E01" w:rsidR="00F82B0B" w:rsidP="00FE3E2C" w:rsidRDefault="00F82B0B" w14:paraId="791088AC" w14:textId="75C26CF1">
            <w:pPr>
              <w:pStyle w:val="BodyText"/>
              <w:spacing w:before="120" w:after="120"/>
              <w:jc w:val="left"/>
              <w:rPr>
                <w:rFonts w:eastAsiaTheme="minorHAnsi"/>
                <w:bCs/>
                <w:lang w:val="en-CA"/>
              </w:rPr>
            </w:pPr>
            <w:r>
              <w:rPr>
                <w:rFonts w:eastAsiaTheme="minorHAnsi"/>
                <w:bCs/>
                <w:lang w:val="en-CA"/>
              </w:rPr>
              <w:t>First Offering</w:t>
            </w:r>
            <w:r w:rsidR="00405B55">
              <w:rPr>
                <w:rFonts w:eastAsiaTheme="minorHAnsi"/>
                <w:bCs/>
                <w:lang w:val="en-CA"/>
              </w:rPr>
              <w:t xml:space="preserve"> of </w:t>
            </w:r>
            <w:r w:rsidRPr="00405B55" w:rsidR="00405B55">
              <w:rPr>
                <w:rFonts w:eastAsiaTheme="minorHAnsi"/>
                <w:bCs/>
                <w:lang w:val="en-CA"/>
              </w:rPr>
              <w:t xml:space="preserve">9,060,000 units of the Company for aggregate gross proceeds </w:t>
            </w:r>
            <w:r w:rsidR="00C4621E">
              <w:rPr>
                <w:rFonts w:eastAsiaTheme="minorHAnsi"/>
                <w:bCs/>
                <w:lang w:val="en-CA"/>
              </w:rPr>
              <w:t xml:space="preserve">to the Company </w:t>
            </w:r>
            <w:r w:rsidRPr="00405B55" w:rsidR="00405B55">
              <w:rPr>
                <w:rFonts w:eastAsiaTheme="minorHAnsi"/>
                <w:bCs/>
                <w:lang w:val="en-CA"/>
              </w:rPr>
              <w:t>of $906,000</w:t>
            </w:r>
          </w:p>
        </w:tc>
        <w:tc>
          <w:tcPr>
            <w:tcW w:w="3120" w:type="dxa"/>
          </w:tcPr>
          <w:p w:rsidRPr="00D80E01" w:rsidR="00F82B0B" w:rsidP="00FE3E2C" w:rsidRDefault="00F82B0B" w14:paraId="0A5821A7" w14:textId="3EAF430A">
            <w:pPr>
              <w:pStyle w:val="BodyText"/>
              <w:spacing w:before="120" w:after="120"/>
              <w:jc w:val="left"/>
              <w:rPr>
                <w:rFonts w:eastAsiaTheme="minorHAnsi"/>
                <w:bCs/>
                <w:lang w:val="en-CA"/>
              </w:rPr>
            </w:pPr>
            <w:r>
              <w:rPr>
                <w:rFonts w:eastAsiaTheme="minorHAnsi"/>
                <w:bCs/>
                <w:lang w:val="en-CA"/>
              </w:rPr>
              <w:t>W</w:t>
            </w:r>
            <w:r w:rsidRPr="00F82B0B">
              <w:rPr>
                <w:rFonts w:eastAsiaTheme="minorHAnsi"/>
                <w:bCs/>
                <w:lang w:val="en-CA"/>
              </w:rPr>
              <w:t>orking capital purposes and capital expenditures</w:t>
            </w:r>
          </w:p>
        </w:tc>
        <w:tc>
          <w:tcPr>
            <w:tcW w:w="3120" w:type="dxa"/>
          </w:tcPr>
          <w:p w:rsidRPr="00D80E01" w:rsidR="00F82B0B" w:rsidP="00FE3E2C" w:rsidRDefault="00F74360" w14:paraId="720FBE2F" w14:textId="4680D4F7">
            <w:pPr>
              <w:pStyle w:val="BodyText"/>
              <w:spacing w:before="120" w:after="120"/>
              <w:jc w:val="left"/>
              <w:rPr>
                <w:rFonts w:eastAsiaTheme="minorHAnsi"/>
                <w:bCs/>
                <w:lang w:val="en-CA"/>
              </w:rPr>
            </w:pPr>
            <w:r w:rsidRPr="00405B55">
              <w:rPr>
                <w:rFonts w:eastAsiaTheme="minorHAnsi"/>
                <w:bCs/>
                <w:lang w:val="en-CA"/>
              </w:rPr>
              <w:t>$906,000</w:t>
            </w:r>
            <w:r w:rsidRPr="00D80E01" w:rsidR="00F82B0B">
              <w:rPr>
                <w:rFonts w:eastAsiaTheme="minorHAnsi"/>
                <w:bCs/>
                <w:lang w:val="en-CA"/>
              </w:rPr>
              <w:t xml:space="preserve"> has been used </w:t>
            </w:r>
            <w:r w:rsidR="00F82B0B">
              <w:rPr>
                <w:rFonts w:eastAsiaTheme="minorHAnsi"/>
                <w:bCs/>
                <w:lang w:val="en-CA"/>
              </w:rPr>
              <w:t>for w</w:t>
            </w:r>
            <w:r w:rsidRPr="00F82B0B" w:rsidR="00F82B0B">
              <w:rPr>
                <w:rFonts w:eastAsiaTheme="minorHAnsi"/>
                <w:bCs/>
                <w:lang w:val="en-CA"/>
              </w:rPr>
              <w:t>orking capital purposes and capital expenditures</w:t>
            </w:r>
            <w:r w:rsidRPr="00D80E01" w:rsidR="00F82B0B">
              <w:rPr>
                <w:rFonts w:eastAsiaTheme="minorHAnsi"/>
                <w:bCs/>
                <w:lang w:val="en-CA"/>
              </w:rPr>
              <w:t>.</w:t>
            </w:r>
          </w:p>
        </w:tc>
      </w:tr>
    </w:tbl>
    <w:p w:rsidRPr="00D80E01" w:rsidR="00F54AD3" w:rsidP="00F640F8" w:rsidRDefault="00F54AD3" w14:paraId="431C3CED" w14:textId="304FBD97">
      <w:pPr>
        <w:pStyle w:val="StandardL1"/>
        <w:spacing w:before="240"/>
        <w:rPr>
          <w:rFonts w:eastAsiaTheme="minorHAnsi"/>
          <w:lang w:val="en-CA"/>
        </w:rPr>
      </w:pPr>
      <w:r w:rsidRPr="00D80E01">
        <w:rPr>
          <w:rFonts w:eastAsiaTheme="minorHAnsi"/>
          <w:lang w:val="en-CA"/>
        </w:rPr>
        <w:t>FEES AND COMMISSIONS</w:t>
      </w:r>
    </w:p>
    <w:p w:rsidRPr="00D80E01" w:rsidR="00F54AD3" w:rsidP="00F54AD3" w:rsidRDefault="00F54AD3" w14:paraId="2D5A1A47" w14:textId="47AEAE34">
      <w:pPr>
        <w:pStyle w:val="StandardL2"/>
        <w:rPr>
          <w:lang w:val="en-CA"/>
        </w:rPr>
      </w:pPr>
      <w:r w:rsidRPr="00D80E01">
        <w:rPr>
          <w:lang w:val="en-CA"/>
        </w:rPr>
        <w:t>Who are the dealers or finders that we have engaged in connection with this offering, if any, and what are their fees?</w:t>
      </w:r>
    </w:p>
    <w:p w:rsidRPr="00D80E01" w:rsidR="00F62A7C" w:rsidP="0088094E" w:rsidRDefault="000E5701" w14:paraId="536705AF" w14:textId="096913F8">
      <w:pPr>
        <w:pStyle w:val="BodyText"/>
        <w:rPr>
          <w:lang w:val="en-CA"/>
        </w:rPr>
      </w:pPr>
      <w:r w:rsidRPr="00D80E01">
        <w:rPr>
          <w:lang w:val="en-CA"/>
        </w:rPr>
        <w:t xml:space="preserve">The Company may pay </w:t>
      </w:r>
      <w:r w:rsidRPr="00D80E01" w:rsidR="002B46FD">
        <w:rPr>
          <w:lang w:val="en-CA"/>
        </w:rPr>
        <w:t xml:space="preserve">certain eligible finders </w:t>
      </w:r>
      <w:r w:rsidRPr="00D80E01">
        <w:rPr>
          <w:lang w:val="en-CA"/>
        </w:rPr>
        <w:t xml:space="preserve">a cash fee of up to 8% of the gross proceeds </w:t>
      </w:r>
      <w:r w:rsidRPr="00D80E01" w:rsidR="002B46FD">
        <w:rPr>
          <w:lang w:val="en-CA"/>
        </w:rPr>
        <w:t xml:space="preserve">raised in respect of the Offering from subscribers introduced by such finders </w:t>
      </w:r>
      <w:r w:rsidRPr="00D80E01">
        <w:rPr>
          <w:lang w:val="en-CA"/>
        </w:rPr>
        <w:t xml:space="preserve">to the </w:t>
      </w:r>
      <w:r w:rsidRPr="00D80E01" w:rsidR="00243BB2">
        <w:rPr>
          <w:lang w:val="en-CA"/>
        </w:rPr>
        <w:t>Company</w:t>
      </w:r>
      <w:r w:rsidRPr="00D80E01">
        <w:rPr>
          <w:lang w:val="en-CA"/>
        </w:rPr>
        <w:t xml:space="preserve">. The </w:t>
      </w:r>
      <w:r w:rsidRPr="00D80E01" w:rsidR="00243BB2">
        <w:rPr>
          <w:lang w:val="en-CA"/>
        </w:rPr>
        <w:t>Company</w:t>
      </w:r>
      <w:r w:rsidRPr="00D80E01">
        <w:rPr>
          <w:lang w:val="en-CA"/>
        </w:rPr>
        <w:t xml:space="preserve"> may also issue to eligible finders </w:t>
      </w:r>
      <w:r w:rsidRPr="00D80E01" w:rsidR="0088094E">
        <w:rPr>
          <w:lang w:val="en-CA"/>
        </w:rPr>
        <w:t>such</w:t>
      </w:r>
      <w:r w:rsidRPr="00D80E01">
        <w:rPr>
          <w:lang w:val="en-CA"/>
        </w:rPr>
        <w:t xml:space="preserve"> number of </w:t>
      </w:r>
      <w:r w:rsidRPr="00D80E01" w:rsidR="00243BB2">
        <w:rPr>
          <w:lang w:val="en-CA"/>
        </w:rPr>
        <w:t>finder</w:t>
      </w:r>
      <w:r w:rsidRPr="00D80E01">
        <w:rPr>
          <w:lang w:val="en-CA"/>
        </w:rPr>
        <w:t xml:space="preserve"> warrants</w:t>
      </w:r>
      <w:r w:rsidRPr="00D80E01" w:rsidR="00257BF9">
        <w:rPr>
          <w:lang w:val="en-CA"/>
        </w:rPr>
        <w:t xml:space="preserve"> (each, a "</w:t>
      </w:r>
      <w:r w:rsidRPr="00D80E01" w:rsidR="00257BF9">
        <w:rPr>
          <w:b/>
          <w:bCs/>
          <w:lang w:val="en-CA"/>
        </w:rPr>
        <w:t>Finder Warrant</w:t>
      </w:r>
      <w:r w:rsidRPr="00D80E01" w:rsidR="00257BF9">
        <w:rPr>
          <w:lang w:val="en-CA"/>
        </w:rPr>
        <w:t>")</w:t>
      </w:r>
      <w:r w:rsidRPr="00D80E01">
        <w:rPr>
          <w:lang w:val="en-CA"/>
        </w:rPr>
        <w:t xml:space="preserve"> equal to </w:t>
      </w:r>
      <w:r w:rsidRPr="00D80E01" w:rsidR="00243BB2">
        <w:rPr>
          <w:lang w:val="en-CA"/>
        </w:rPr>
        <w:t>8</w:t>
      </w:r>
      <w:r w:rsidRPr="00D80E01">
        <w:rPr>
          <w:lang w:val="en-CA"/>
        </w:rPr>
        <w:t xml:space="preserve">.0% of </w:t>
      </w:r>
      <w:r w:rsidRPr="00D80E01" w:rsidR="002462F4">
        <w:rPr>
          <w:lang w:val="en-CA"/>
        </w:rPr>
        <w:t>t</w:t>
      </w:r>
      <w:r w:rsidRPr="00D80E01" w:rsidR="0088094E">
        <w:rPr>
          <w:lang w:val="en-CA"/>
        </w:rPr>
        <w:t>he number of Units sold under the Offering to subscribers introduced by such finders to the Company</w:t>
      </w:r>
      <w:r w:rsidRPr="00D80E01">
        <w:rPr>
          <w:lang w:val="en-CA"/>
        </w:rPr>
        <w:t xml:space="preserve">. </w:t>
      </w:r>
      <w:r w:rsidRPr="00D80E01" w:rsidR="00243BB2">
        <w:rPr>
          <w:lang w:val="en-CA"/>
        </w:rPr>
        <w:t xml:space="preserve">The </w:t>
      </w:r>
      <w:r w:rsidRPr="00D80E01" w:rsidR="00257BF9">
        <w:rPr>
          <w:lang w:val="en-CA"/>
        </w:rPr>
        <w:t>Finder Warrants</w:t>
      </w:r>
      <w:r w:rsidRPr="00D80E01" w:rsidR="00243BB2">
        <w:rPr>
          <w:lang w:val="en-CA"/>
        </w:rPr>
        <w:t xml:space="preserve">, to the extent they are issued, shall entitle the holder thereof to acquire one Common Share at a price of $0.15 per </w:t>
      </w:r>
      <w:r w:rsidRPr="00D80E01" w:rsidR="00971695">
        <w:rPr>
          <w:lang w:val="en-CA"/>
        </w:rPr>
        <w:t>C</w:t>
      </w:r>
      <w:r w:rsidRPr="00D80E01" w:rsidR="00243BB2">
        <w:rPr>
          <w:lang w:val="en-CA"/>
        </w:rPr>
        <w:t xml:space="preserve">ommon </w:t>
      </w:r>
      <w:r w:rsidRPr="00D80E01" w:rsidR="00971695">
        <w:rPr>
          <w:lang w:val="en-CA"/>
        </w:rPr>
        <w:t>S</w:t>
      </w:r>
      <w:r w:rsidRPr="00D80E01" w:rsidR="00243BB2">
        <w:rPr>
          <w:lang w:val="en-CA"/>
        </w:rPr>
        <w:t>hare for a period of 36 months</w:t>
      </w:r>
      <w:r w:rsidRPr="00D80E01" w:rsidR="00971695">
        <w:rPr>
          <w:lang w:val="en-CA"/>
        </w:rPr>
        <w:t xml:space="preserve"> </w:t>
      </w:r>
      <w:r w:rsidRPr="00D80E01" w:rsidR="00971695">
        <w:rPr>
          <w:rFonts w:eastAsiaTheme="minorHAnsi"/>
          <w:bCs/>
          <w:lang w:val="en-CA"/>
        </w:rPr>
        <w:t>from the date of issuance</w:t>
      </w:r>
      <w:r w:rsidRPr="00D80E01" w:rsidR="00243BB2">
        <w:rPr>
          <w:lang w:val="en-CA"/>
        </w:rPr>
        <w:t>.</w:t>
      </w:r>
      <w:r w:rsidRPr="00D80E01" w:rsidR="00F62A7C">
        <w:rPr>
          <w:lang w:val="en-CA"/>
        </w:rPr>
        <w:t xml:space="preserve"> The Company shall be entitled to accelerate the expiry date of the </w:t>
      </w:r>
      <w:r w:rsidRPr="00D80E01" w:rsidR="00257BF9">
        <w:rPr>
          <w:lang w:val="en-CA"/>
        </w:rPr>
        <w:t>Finder Warrants</w:t>
      </w:r>
      <w:r w:rsidRPr="00D80E01" w:rsidR="00F62A7C">
        <w:rPr>
          <w:lang w:val="en-CA"/>
        </w:rPr>
        <w:t xml:space="preserve">, to the extent they are issued, to a period of thirty days if an Acceleration Event occurs by providing notice of the Acceleration Event to the holder of such </w:t>
      </w:r>
      <w:r w:rsidRPr="00D80E01" w:rsidR="00257BF9">
        <w:rPr>
          <w:lang w:val="en-CA"/>
        </w:rPr>
        <w:t xml:space="preserve">Finder Warrants </w:t>
      </w:r>
      <w:r w:rsidRPr="00D80E01" w:rsidR="00F62A7C">
        <w:rPr>
          <w:lang w:val="en-CA"/>
        </w:rPr>
        <w:t>not later than five business days from the date of the Acceleration Event.</w:t>
      </w:r>
    </w:p>
    <w:p w:rsidRPr="00D80E01" w:rsidR="00C15697" w:rsidP="00C15697" w:rsidRDefault="00C15697" w14:paraId="1E7FBE73" w14:textId="65368C44">
      <w:pPr>
        <w:pStyle w:val="StandardL1"/>
        <w:rPr>
          <w:rFonts w:eastAsiaTheme="minorHAnsi"/>
          <w:lang w:val="en-CA"/>
        </w:rPr>
      </w:pPr>
      <w:r w:rsidRPr="00D80E01">
        <w:rPr>
          <w:rFonts w:eastAsiaTheme="minorHAnsi"/>
          <w:lang w:val="en-CA"/>
        </w:rPr>
        <w:t>PURCHASERS</w:t>
      </w:r>
      <w:r w:rsidRPr="00D80E01" w:rsidR="009A4F85">
        <w:rPr>
          <w:rFonts w:eastAsiaTheme="minorHAnsi"/>
          <w:lang w:val="en-CA"/>
        </w:rPr>
        <w:t>'</w:t>
      </w:r>
      <w:r w:rsidRPr="00D80E01">
        <w:rPr>
          <w:rFonts w:eastAsiaTheme="minorHAnsi"/>
          <w:lang w:val="en-CA"/>
        </w:rPr>
        <w:t xml:space="preserve"> RIGHTS</w:t>
      </w:r>
    </w:p>
    <w:p w:rsidRPr="00D80E01" w:rsidR="00C15697" w:rsidP="00C15697" w:rsidRDefault="006149C4" w14:paraId="25BA0B5C" w14:textId="35F3DEEB">
      <w:pPr>
        <w:pStyle w:val="StandardL2"/>
        <w:rPr>
          <w:lang w:val="en-CA"/>
        </w:rPr>
      </w:pPr>
      <w:r w:rsidRPr="00D80E01">
        <w:rPr>
          <w:lang w:val="en-CA"/>
        </w:rPr>
        <w:t>Rights of Action in the Event of a Misrepresentation</w:t>
      </w:r>
    </w:p>
    <w:p w:rsidRPr="00D80E01" w:rsidR="006149C4" w:rsidP="006149C4" w:rsidRDefault="006149C4" w14:paraId="7521ED25" w14:textId="5EF5CAAC">
      <w:pPr>
        <w:pStyle w:val="BodyText"/>
        <w:rPr>
          <w:b/>
          <w:bCs/>
          <w:lang w:val="en-CA"/>
        </w:rPr>
      </w:pPr>
      <w:r w:rsidRPr="00D80E01">
        <w:rPr>
          <w:b/>
          <w:bCs/>
          <w:lang w:val="en-CA"/>
        </w:rPr>
        <w:t xml:space="preserve">If there is a misrepresentation in this </w:t>
      </w:r>
      <w:r w:rsidRPr="00D80E01" w:rsidR="00DF2774">
        <w:rPr>
          <w:b/>
          <w:bCs/>
          <w:lang w:val="en-CA"/>
        </w:rPr>
        <w:t>Offering Document</w:t>
      </w:r>
      <w:r w:rsidRPr="00D80E01">
        <w:rPr>
          <w:b/>
          <w:bCs/>
          <w:lang w:val="en-CA"/>
        </w:rPr>
        <w:t>, you have a right</w:t>
      </w:r>
    </w:p>
    <w:p w:rsidRPr="00D80E01" w:rsidR="006149C4" w:rsidP="006149C4" w:rsidRDefault="006149C4" w14:paraId="16B01727" w14:textId="7C39A8CA">
      <w:pPr>
        <w:pStyle w:val="BodyText"/>
        <w:numPr>
          <w:ilvl w:val="0"/>
          <w:numId w:val="32"/>
        </w:numPr>
        <w:rPr>
          <w:b/>
          <w:bCs/>
          <w:lang w:val="en-CA"/>
        </w:rPr>
      </w:pPr>
      <w:r w:rsidRPr="00D80E01">
        <w:rPr>
          <w:b/>
          <w:bCs/>
          <w:lang w:val="en-CA"/>
        </w:rPr>
        <w:t>to rescind your purchase of these securities with the Company, or</w:t>
      </w:r>
    </w:p>
    <w:p w:rsidRPr="00D80E01" w:rsidR="006149C4" w:rsidP="006149C4" w:rsidRDefault="006149C4" w14:paraId="2EC656D3" w14:textId="15EA4F0F">
      <w:pPr>
        <w:pStyle w:val="BodyText"/>
        <w:numPr>
          <w:ilvl w:val="0"/>
          <w:numId w:val="32"/>
        </w:numPr>
        <w:rPr>
          <w:b/>
          <w:bCs/>
          <w:lang w:val="en-CA"/>
        </w:rPr>
      </w:pPr>
      <w:r w:rsidRPr="00D80E01">
        <w:rPr>
          <w:b/>
          <w:bCs/>
          <w:lang w:val="en-CA"/>
        </w:rPr>
        <w:t>to damages against the Company and may, in certain jurisdictions, have a statutory right to damages from other persons.</w:t>
      </w:r>
    </w:p>
    <w:p w:rsidRPr="00D80E01" w:rsidR="006149C4" w:rsidP="006149C4" w:rsidRDefault="006149C4" w14:paraId="48F9B68E" w14:textId="6F5606CF">
      <w:pPr>
        <w:pStyle w:val="BodyText"/>
        <w:rPr>
          <w:b/>
          <w:bCs/>
          <w:lang w:val="en-CA"/>
        </w:rPr>
      </w:pPr>
      <w:r w:rsidRPr="00D80E01">
        <w:rPr>
          <w:b/>
          <w:bCs/>
          <w:lang w:val="en-CA"/>
        </w:rPr>
        <w:t>These rights are available to you whether or not you relied on the misrepresentation. However, there are various circumstances that limit your rights. In particular, your rights might be limited if you knew of the misrepresentation when you purchased the securities.</w:t>
      </w:r>
    </w:p>
    <w:p w:rsidRPr="00D80E01" w:rsidR="006149C4" w:rsidP="006149C4" w:rsidRDefault="006149C4" w14:paraId="0A12FB2A" w14:textId="6139342B">
      <w:pPr>
        <w:pStyle w:val="BodyText"/>
        <w:rPr>
          <w:b/>
          <w:bCs/>
          <w:lang w:val="en-CA"/>
        </w:rPr>
      </w:pPr>
      <w:r w:rsidRPr="00D80E01">
        <w:rPr>
          <w:b/>
          <w:bCs/>
          <w:lang w:val="en-CA"/>
        </w:rPr>
        <w:lastRenderedPageBreak/>
        <w:t>If you intend to rely on the rights described in paragraph (a) or (b) above, you must do so within strict time limitations.</w:t>
      </w:r>
    </w:p>
    <w:p w:rsidRPr="00D80E01" w:rsidR="006149C4" w:rsidP="006149C4" w:rsidRDefault="006149C4" w14:paraId="1DA1FD6C" w14:textId="38281A46">
      <w:pPr>
        <w:pStyle w:val="BodyText"/>
        <w:rPr>
          <w:b/>
          <w:bCs/>
          <w:lang w:val="en-CA"/>
        </w:rPr>
      </w:pPr>
      <w:r w:rsidRPr="00D80E01">
        <w:rPr>
          <w:b/>
          <w:bCs/>
          <w:lang w:val="en-CA"/>
        </w:rPr>
        <w:t>You should refer to any applicable provisions of the securities legislation of your province or territory for the particulars of these rights or consult with a legal adviser.</w:t>
      </w:r>
    </w:p>
    <w:p w:rsidRPr="00D80E01" w:rsidR="00C034C8" w:rsidP="00C034C8" w:rsidRDefault="00C034C8" w14:paraId="08CB55AE" w14:textId="4885B4EE">
      <w:pPr>
        <w:pStyle w:val="StandardL1"/>
        <w:rPr>
          <w:rFonts w:eastAsiaTheme="minorHAnsi"/>
          <w:lang w:val="en-CA"/>
        </w:rPr>
      </w:pPr>
      <w:r w:rsidRPr="00D80E01">
        <w:rPr>
          <w:rFonts w:eastAsiaTheme="minorHAnsi"/>
          <w:lang w:val="en-CA"/>
        </w:rPr>
        <w:t>ADDITIONAL INFORMATION</w:t>
      </w:r>
    </w:p>
    <w:p w:rsidRPr="00D80E01" w:rsidR="00C034C8" w:rsidP="00C034C8" w:rsidRDefault="00C034C8" w14:paraId="7BA2B82B" w14:textId="1BB131F5">
      <w:pPr>
        <w:pStyle w:val="StandardL2"/>
        <w:rPr>
          <w:lang w:val="en-CA"/>
        </w:rPr>
      </w:pPr>
      <w:r w:rsidRPr="00D80E01">
        <w:rPr>
          <w:lang w:val="en-CA"/>
        </w:rPr>
        <w:t>Where can you find more information about us?</w:t>
      </w:r>
    </w:p>
    <w:p w:rsidRPr="00D80E01" w:rsidR="00CA3BA1" w:rsidP="00837D6E" w:rsidRDefault="00837D6E" w14:paraId="5F8FF8A5" w14:textId="11D98C0E">
      <w:pPr>
        <w:pStyle w:val="BodyText"/>
        <w:jc w:val="left"/>
        <w:rPr>
          <w:rFonts w:eastAsiaTheme="minorHAnsi"/>
          <w:bCs/>
          <w:lang w:val="en-CA"/>
        </w:rPr>
      </w:pPr>
      <w:r w:rsidRPr="00D80E01">
        <w:rPr>
          <w:rFonts w:eastAsiaTheme="minorHAnsi"/>
          <w:bCs/>
          <w:lang w:val="en-CA"/>
        </w:rPr>
        <w:t>You can access the Company</w:t>
      </w:r>
      <w:r w:rsidRPr="00D80E01" w:rsidR="009A4F85">
        <w:rPr>
          <w:rFonts w:eastAsiaTheme="minorHAnsi"/>
          <w:bCs/>
          <w:lang w:val="en-CA"/>
        </w:rPr>
        <w:t>'</w:t>
      </w:r>
      <w:r w:rsidRPr="00D80E01">
        <w:rPr>
          <w:rFonts w:eastAsiaTheme="minorHAnsi"/>
          <w:bCs/>
          <w:lang w:val="en-CA"/>
        </w:rPr>
        <w:t>s continuous disclosure</w:t>
      </w:r>
      <w:r w:rsidRPr="00D80E01" w:rsidR="00575B58">
        <w:rPr>
          <w:rFonts w:eastAsiaTheme="minorHAnsi"/>
          <w:bCs/>
          <w:lang w:val="en-CA"/>
        </w:rPr>
        <w:t xml:space="preserve"> record</w:t>
      </w:r>
      <w:r w:rsidRPr="00D80E01">
        <w:rPr>
          <w:rFonts w:eastAsiaTheme="minorHAnsi"/>
          <w:bCs/>
          <w:lang w:val="en-CA"/>
        </w:rPr>
        <w:t xml:space="preserve"> at www.sedarplus.c</w:t>
      </w:r>
      <w:r w:rsidR="008A1FEE">
        <w:rPr>
          <w:rFonts w:eastAsiaTheme="minorHAnsi"/>
          <w:bCs/>
          <w:lang w:val="en-CA"/>
        </w:rPr>
        <w:t>om</w:t>
      </w:r>
      <w:r w:rsidRPr="00D80E01">
        <w:rPr>
          <w:rFonts w:eastAsiaTheme="minorHAnsi"/>
          <w:bCs/>
          <w:lang w:val="en-CA"/>
        </w:rPr>
        <w:t>. You can find out more information about the Company at www.indiva.com.</w:t>
      </w:r>
      <w:r w:rsidRPr="00D80E01" w:rsidR="00CA3BA1">
        <w:rPr>
          <w:rFonts w:eastAsiaTheme="minorHAnsi"/>
          <w:bCs/>
          <w:lang w:val="en-CA"/>
        </w:rPr>
        <w:br w:type="page"/>
      </w:r>
    </w:p>
    <w:p w:rsidRPr="00D80E01" w:rsidR="00DE6B4D" w:rsidP="00DE6B4D" w:rsidRDefault="00DE6B4D" w14:paraId="61EC027C" w14:textId="51707A86">
      <w:pPr>
        <w:pStyle w:val="StandardL1"/>
        <w:rPr>
          <w:rFonts w:eastAsiaTheme="minorHAnsi"/>
          <w:lang w:val="en-CA"/>
        </w:rPr>
      </w:pPr>
      <w:r w:rsidRPr="00D80E01">
        <w:rPr>
          <w:rFonts w:eastAsiaTheme="minorHAnsi"/>
          <w:lang w:val="en-CA"/>
        </w:rPr>
        <w:lastRenderedPageBreak/>
        <w:t>date and certificate</w:t>
      </w:r>
    </w:p>
    <w:p w:rsidRPr="00D80E01" w:rsidR="007A568E" w:rsidP="007A568E" w:rsidRDefault="007A568E" w14:paraId="67FB0013" w14:textId="0189885E">
      <w:pPr>
        <w:pStyle w:val="BodyText"/>
        <w:rPr>
          <w:lang w:val="en-CA"/>
        </w:rPr>
      </w:pPr>
      <w:r w:rsidRPr="00D80E01">
        <w:rPr>
          <w:lang w:val="en-CA"/>
        </w:rPr>
        <w:t xml:space="preserve">This </w:t>
      </w:r>
      <w:r w:rsidRPr="00D80E01" w:rsidR="00DF2774">
        <w:rPr>
          <w:lang w:val="en-CA"/>
        </w:rPr>
        <w:t>Offering Document</w:t>
      </w:r>
      <w:r w:rsidRPr="00D80E01">
        <w:rPr>
          <w:lang w:val="en-CA"/>
        </w:rPr>
        <w:t xml:space="preserve">, together with any document filed under Canadian securities legislation on or after </w:t>
      </w:r>
      <w:r w:rsidR="00DA22CA">
        <w:rPr>
          <w:lang w:val="en-CA"/>
        </w:rPr>
        <w:t>March</w:t>
      </w:r>
      <w:r w:rsidRPr="00D80E01" w:rsidR="00DA22CA">
        <w:rPr>
          <w:lang w:val="en-CA"/>
        </w:rPr>
        <w:t xml:space="preserve"> </w:t>
      </w:r>
      <w:r w:rsidR="00DA22CA">
        <w:rPr>
          <w:bCs/>
          <w:lang w:val="en-CA"/>
        </w:rPr>
        <w:t>1</w:t>
      </w:r>
      <w:r w:rsidR="0020060A">
        <w:rPr>
          <w:bCs/>
          <w:lang w:val="en-CA"/>
        </w:rPr>
        <w:t>2</w:t>
      </w:r>
      <w:r w:rsidRPr="00D80E01" w:rsidR="00317FC0">
        <w:rPr>
          <w:lang w:val="en-CA"/>
        </w:rPr>
        <w:t>, 2023</w:t>
      </w:r>
      <w:r w:rsidRPr="00D80E01">
        <w:rPr>
          <w:lang w:val="en-CA"/>
        </w:rPr>
        <w:t>, contains disclosure of all material facts about the securities being distributed and does not contain a misrepresentation.</w:t>
      </w:r>
    </w:p>
    <w:p w:rsidRPr="00D80E01" w:rsidR="007A568E" w:rsidP="00EB549D" w:rsidRDefault="00DA22CA" w14:paraId="041B65C0" w14:textId="13BDEE54">
      <w:pPr>
        <w:pStyle w:val="BodyText"/>
        <w:rPr>
          <w:lang w:val="en-CA"/>
        </w:rPr>
      </w:pPr>
      <w:r>
        <w:rPr>
          <w:lang w:val="en-CA"/>
        </w:rPr>
        <w:t>March</w:t>
      </w:r>
      <w:r w:rsidRPr="00D80E01" w:rsidR="007A568E">
        <w:rPr>
          <w:lang w:val="en-CA"/>
        </w:rPr>
        <w:t xml:space="preserve"> </w:t>
      </w:r>
      <w:r>
        <w:rPr>
          <w:bCs/>
          <w:lang w:val="en-CA"/>
        </w:rPr>
        <w:t>1</w:t>
      </w:r>
      <w:r w:rsidR="0020060A">
        <w:rPr>
          <w:bCs/>
          <w:lang w:val="en-CA"/>
        </w:rPr>
        <w:t>2</w:t>
      </w:r>
      <w:r w:rsidRPr="00D80E01" w:rsidR="007A568E">
        <w:rPr>
          <w:lang w:val="en-CA"/>
        </w:rPr>
        <w:t>, 2024</w:t>
      </w:r>
    </w:p>
    <w:tbl>
      <w:tblPr>
        <w:tblW w:w="6390" w:type="dxa"/>
        <w:jc w:val="center"/>
        <w:tblLayout w:type="fixed"/>
        <w:tblCellMar>
          <w:left w:w="0" w:type="dxa"/>
          <w:right w:w="0" w:type="dxa"/>
        </w:tblCellMar>
        <w:tblLook w:val="0000" w:firstRow="0" w:lastRow="0" w:firstColumn="0" w:lastColumn="0" w:noHBand="0" w:noVBand="0"/>
      </w:tblPr>
      <w:tblGrid>
        <w:gridCol w:w="2790"/>
        <w:gridCol w:w="810"/>
        <w:gridCol w:w="2790"/>
      </w:tblGrid>
      <w:tr w:rsidRPr="00D80E01" w:rsidR="00EB549D" w:rsidTr="00A62940" w14:paraId="06811D51" w14:textId="77777777">
        <w:trPr>
          <w:jc w:val="center"/>
        </w:trPr>
        <w:tc>
          <w:tcPr>
            <w:tcW w:w="2790" w:type="dxa"/>
          </w:tcPr>
          <w:p w:rsidRPr="00D80E01" w:rsidR="00EB549D" w:rsidP="00A62940" w:rsidRDefault="00EB549D" w14:paraId="488C6EED" w14:textId="77777777">
            <w:pPr>
              <w:keepNext/>
              <w:rPr>
                <w:rFonts w:eastAsia="Calibri" w:cs="Arial"/>
                <w:lang w:val="en-CA"/>
              </w:rPr>
            </w:pPr>
          </w:p>
        </w:tc>
        <w:tc>
          <w:tcPr>
            <w:tcW w:w="810" w:type="dxa"/>
          </w:tcPr>
          <w:p w:rsidRPr="00D80E01" w:rsidR="00EB549D" w:rsidP="00A62940" w:rsidRDefault="00EB549D" w14:paraId="4E8858BB" w14:textId="77777777">
            <w:pPr>
              <w:keepNext/>
              <w:rPr>
                <w:rFonts w:eastAsia="Calibri" w:cs="Arial"/>
                <w:lang w:val="en-CA"/>
              </w:rPr>
            </w:pPr>
          </w:p>
        </w:tc>
        <w:tc>
          <w:tcPr>
            <w:tcW w:w="2790" w:type="dxa"/>
          </w:tcPr>
          <w:p w:rsidRPr="00D80E01" w:rsidR="00EB549D" w:rsidP="00A62940" w:rsidRDefault="00EB549D" w14:paraId="5FC0E795" w14:textId="77777777">
            <w:pPr>
              <w:keepNext/>
              <w:rPr>
                <w:rFonts w:eastAsia="Calibri" w:cs="Arial"/>
                <w:lang w:val="en-CA"/>
              </w:rPr>
            </w:pPr>
          </w:p>
        </w:tc>
      </w:tr>
      <w:tr w:rsidRPr="00D80E01" w:rsidR="00A62940" w:rsidTr="00A62940" w14:paraId="672E3056" w14:textId="77777777">
        <w:trPr>
          <w:jc w:val="center"/>
        </w:trPr>
        <w:tc>
          <w:tcPr>
            <w:tcW w:w="2790" w:type="dxa"/>
          </w:tcPr>
          <w:p w:rsidRPr="00D80E01" w:rsidR="00A62940" w:rsidP="00A62940" w:rsidRDefault="00A62940" w14:paraId="3EA1240A" w14:textId="77777777">
            <w:pPr>
              <w:keepNext/>
              <w:rPr>
                <w:rFonts w:eastAsia="Calibri" w:cs="Arial"/>
                <w:lang w:val="en-CA"/>
              </w:rPr>
            </w:pPr>
          </w:p>
        </w:tc>
        <w:tc>
          <w:tcPr>
            <w:tcW w:w="810" w:type="dxa"/>
          </w:tcPr>
          <w:p w:rsidRPr="00D80E01" w:rsidR="00A62940" w:rsidP="00A62940" w:rsidRDefault="00A62940" w14:paraId="65097DDD" w14:textId="218A9C0B">
            <w:pPr>
              <w:keepNext/>
              <w:rPr>
                <w:rFonts w:eastAsia="Calibri" w:cs="Arial"/>
                <w:lang w:val="en-CA"/>
              </w:rPr>
            </w:pPr>
          </w:p>
        </w:tc>
        <w:tc>
          <w:tcPr>
            <w:tcW w:w="2790" w:type="dxa"/>
          </w:tcPr>
          <w:p w:rsidRPr="00D80E01" w:rsidR="00A62940" w:rsidP="00A62940" w:rsidRDefault="00A62940" w14:paraId="382E66E5" w14:textId="77777777">
            <w:pPr>
              <w:keepNext/>
              <w:rPr>
                <w:rFonts w:eastAsia="Calibri" w:cs="Arial"/>
                <w:lang w:val="en-CA"/>
              </w:rPr>
            </w:pPr>
          </w:p>
        </w:tc>
      </w:tr>
      <w:tr w:rsidRPr="00D80E01" w:rsidR="00A62940" w:rsidTr="00A62940" w14:paraId="59A6414F" w14:textId="77777777">
        <w:trPr>
          <w:jc w:val="center"/>
        </w:trPr>
        <w:tc>
          <w:tcPr>
            <w:tcW w:w="2790" w:type="dxa"/>
            <w:tcBorders>
              <w:bottom w:val="single" w:color="auto" w:sz="4" w:space="0"/>
            </w:tcBorders>
          </w:tcPr>
          <w:p w:rsidRPr="00D80E01" w:rsidR="00A62940" w:rsidP="00A62940" w:rsidRDefault="00A62940" w14:paraId="1134462A" w14:textId="4D5A3779">
            <w:pPr>
              <w:keepNext/>
              <w:jc w:val="center"/>
              <w:rPr>
                <w:rFonts w:eastAsia="Calibri" w:cs="Arial"/>
                <w:i/>
                <w:iCs/>
                <w:lang w:val="en-CA"/>
              </w:rPr>
            </w:pPr>
            <w:r w:rsidRPr="00D80E01">
              <w:rPr>
                <w:rFonts w:eastAsia="Calibri" w:cs="Arial"/>
                <w:i/>
                <w:iCs/>
                <w:lang w:val="en-CA"/>
              </w:rPr>
              <w:t xml:space="preserve">(signed) </w:t>
            </w:r>
            <w:r w:rsidRPr="00D80E01" w:rsidR="009A4F85">
              <w:rPr>
                <w:rFonts w:eastAsia="Calibri" w:cs="Arial"/>
                <w:i/>
                <w:iCs/>
                <w:lang w:val="en-CA"/>
              </w:rPr>
              <w:t>"</w:t>
            </w:r>
            <w:r w:rsidRPr="00D80E01">
              <w:rPr>
                <w:rFonts w:eastAsia="Calibri" w:cs="Arial"/>
                <w:i/>
                <w:iCs/>
                <w:lang w:val="en-CA"/>
              </w:rPr>
              <w:t>Niel Marotta</w:t>
            </w:r>
            <w:r w:rsidRPr="00D80E01" w:rsidR="009A4F85">
              <w:rPr>
                <w:rFonts w:eastAsia="Calibri" w:cs="Arial"/>
                <w:i/>
                <w:iCs/>
                <w:lang w:val="en-CA"/>
              </w:rPr>
              <w:t>"</w:t>
            </w:r>
          </w:p>
        </w:tc>
        <w:tc>
          <w:tcPr>
            <w:tcW w:w="810" w:type="dxa"/>
          </w:tcPr>
          <w:p w:rsidRPr="00D80E01" w:rsidR="00A62940" w:rsidP="00A62940" w:rsidRDefault="00A62940" w14:paraId="72014894" w14:textId="220CC7CB">
            <w:pPr>
              <w:keepNext/>
              <w:rPr>
                <w:rFonts w:eastAsia="Calibri" w:cs="Arial"/>
                <w:lang w:val="en-CA"/>
              </w:rPr>
            </w:pPr>
          </w:p>
        </w:tc>
        <w:tc>
          <w:tcPr>
            <w:tcW w:w="2790" w:type="dxa"/>
            <w:tcBorders>
              <w:bottom w:val="single" w:color="auto" w:sz="4" w:space="0"/>
            </w:tcBorders>
          </w:tcPr>
          <w:p w:rsidRPr="00D80E01" w:rsidR="00A62940" w:rsidP="00A62940" w:rsidRDefault="00A62940" w14:paraId="364A40D7" w14:textId="4061B1B7">
            <w:pPr>
              <w:keepNext/>
              <w:jc w:val="center"/>
              <w:rPr>
                <w:rFonts w:eastAsia="Calibri" w:cs="Arial"/>
                <w:i/>
                <w:iCs/>
                <w:lang w:val="en-CA"/>
              </w:rPr>
            </w:pPr>
            <w:r w:rsidRPr="00D80E01">
              <w:rPr>
                <w:rFonts w:eastAsia="Calibri" w:cs="Arial"/>
                <w:i/>
                <w:iCs/>
                <w:lang w:val="en-CA"/>
              </w:rPr>
              <w:t xml:space="preserve">(signed) </w:t>
            </w:r>
            <w:r w:rsidRPr="00D80E01" w:rsidR="009A4F85">
              <w:rPr>
                <w:rFonts w:eastAsia="Calibri" w:cs="Arial"/>
                <w:i/>
                <w:iCs/>
                <w:lang w:val="en-CA"/>
              </w:rPr>
              <w:t>"</w:t>
            </w:r>
            <w:r w:rsidRPr="00D80E01">
              <w:rPr>
                <w:rFonts w:eastAsia="Calibri" w:cs="Arial"/>
                <w:i/>
                <w:iCs/>
                <w:lang w:val="en-CA"/>
              </w:rPr>
              <w:t>Jennifer Welsh</w:t>
            </w:r>
            <w:r w:rsidRPr="00D80E01" w:rsidR="009A4F85">
              <w:rPr>
                <w:rFonts w:eastAsia="Calibri" w:cs="Arial"/>
                <w:i/>
                <w:iCs/>
                <w:lang w:val="en-CA"/>
              </w:rPr>
              <w:t>"</w:t>
            </w:r>
          </w:p>
        </w:tc>
      </w:tr>
      <w:tr w:rsidRPr="00D80E01" w:rsidR="00A62940" w:rsidTr="00A62940" w14:paraId="63DACF59" w14:textId="77777777">
        <w:trPr>
          <w:jc w:val="center"/>
        </w:trPr>
        <w:tc>
          <w:tcPr>
            <w:tcW w:w="2790" w:type="dxa"/>
            <w:tcBorders>
              <w:top w:val="single" w:color="auto" w:sz="4" w:space="0"/>
            </w:tcBorders>
          </w:tcPr>
          <w:p w:rsidRPr="00D80E01" w:rsidR="00A62940" w:rsidP="00A62940" w:rsidRDefault="00A62940" w14:paraId="5FD39769" w14:textId="6D245C90">
            <w:pPr>
              <w:keepNext/>
              <w:rPr>
                <w:rFonts w:eastAsia="Calibri" w:cs="Arial"/>
                <w:lang w:val="en-CA"/>
              </w:rPr>
            </w:pPr>
            <w:r w:rsidRPr="00D80E01">
              <w:rPr>
                <w:rFonts w:eastAsia="Calibri" w:cs="Arial"/>
                <w:lang w:val="en-CA"/>
              </w:rPr>
              <w:t>Name: Niel Marotta</w:t>
            </w:r>
          </w:p>
          <w:p w:rsidRPr="00D80E01" w:rsidR="00A62940" w:rsidP="00A62940" w:rsidRDefault="00A62940" w14:paraId="1A08911B" w14:textId="53649087">
            <w:pPr>
              <w:keepNext/>
              <w:rPr>
                <w:rFonts w:eastAsia="Calibri" w:cs="Arial"/>
                <w:lang w:val="en-CA"/>
              </w:rPr>
            </w:pPr>
            <w:r w:rsidRPr="00D80E01">
              <w:rPr>
                <w:rFonts w:eastAsia="Calibri" w:cs="Arial"/>
                <w:lang w:val="en-CA"/>
              </w:rPr>
              <w:t>Title: Chief Executive Officer</w:t>
            </w:r>
          </w:p>
        </w:tc>
        <w:tc>
          <w:tcPr>
            <w:tcW w:w="810" w:type="dxa"/>
          </w:tcPr>
          <w:p w:rsidRPr="00D80E01" w:rsidR="00A62940" w:rsidP="00A62940" w:rsidRDefault="00A62940" w14:paraId="5A245F4C" w14:textId="047DBC2F">
            <w:pPr>
              <w:keepNext/>
              <w:rPr>
                <w:rFonts w:eastAsia="Calibri" w:cs="Arial"/>
                <w:lang w:val="en-CA"/>
              </w:rPr>
            </w:pPr>
          </w:p>
        </w:tc>
        <w:tc>
          <w:tcPr>
            <w:tcW w:w="2790" w:type="dxa"/>
          </w:tcPr>
          <w:p w:rsidRPr="00D80E01" w:rsidR="00A62940" w:rsidP="00A62940" w:rsidRDefault="00A62940" w14:paraId="4068BA28" w14:textId="74E35348">
            <w:pPr>
              <w:keepNext/>
              <w:rPr>
                <w:rFonts w:eastAsia="Calibri" w:cs="Arial"/>
                <w:lang w:val="en-CA"/>
              </w:rPr>
            </w:pPr>
            <w:r w:rsidRPr="00D80E01">
              <w:rPr>
                <w:rFonts w:eastAsia="Calibri" w:cs="Arial"/>
                <w:lang w:val="en-CA"/>
              </w:rPr>
              <w:t>Name: Jennifer Welsh</w:t>
            </w:r>
          </w:p>
          <w:p w:rsidRPr="00D80E01" w:rsidR="00A62940" w:rsidP="00A62940" w:rsidRDefault="00A62940" w14:paraId="0CBA5851" w14:textId="794994EC">
            <w:pPr>
              <w:keepNext/>
              <w:rPr>
                <w:rFonts w:eastAsia="Calibri" w:cs="Arial"/>
                <w:lang w:val="en-CA"/>
              </w:rPr>
            </w:pPr>
            <w:r w:rsidRPr="00D80E01">
              <w:rPr>
                <w:rFonts w:eastAsia="Calibri" w:cs="Arial"/>
                <w:lang w:val="en-CA"/>
              </w:rPr>
              <w:t>Title: Chief Financial Officer</w:t>
            </w:r>
          </w:p>
        </w:tc>
      </w:tr>
    </w:tbl>
    <w:p w:rsidRPr="00D80E01" w:rsidR="00C034C8" w:rsidP="00270A4E" w:rsidRDefault="00C034C8" w14:paraId="6230E4ED" w14:textId="77777777">
      <w:pPr>
        <w:pStyle w:val="BodyText"/>
        <w:rPr>
          <w:lang w:val="en-CA"/>
        </w:rPr>
      </w:pPr>
    </w:p>
    <w:sectPr w:rsidRPr="00D80E01" w:rsidR="00C034C8">
      <w:headerReference w:type="default" r:id="rId9"/>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59E" w:rsidRDefault="00F9159E" w14:paraId="63159C1D" w14:textId="77777777">
      <w:r>
        <w:separator/>
      </w:r>
    </w:p>
  </w:endnote>
  <w:endnote w:type="continuationSeparator" w:id="0">
    <w:p w:rsidR="00F9159E" w:rsidRDefault="00F9159E" w14:paraId="275BFB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59E" w:rsidRDefault="00F9159E" w14:paraId="74BBD0AA" w14:textId="77777777">
      <w:r>
        <w:separator/>
      </w:r>
    </w:p>
  </w:footnote>
  <w:footnote w:type="continuationSeparator" w:id="0">
    <w:p w:rsidR="00F9159E" w:rsidRDefault="00F9159E" w14:paraId="2DE017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3817" w:rsidR="003C3817" w:rsidP="003C3817" w:rsidRDefault="003C3817" w14:paraId="64395D6E" w14:textId="0F4D9DCE">
    <w:pPr>
      <w:pStyle w:val="Header"/>
    </w:pPr>
    <w:r w:rsidRPr="003C3817">
      <w:tab/>
    </w:r>
    <w:r>
      <w:t xml:space="preserve">- </w:t>
    </w:r>
    <w:r w:rsidRPr="003C3817">
      <w:rPr>
        <w:rStyle w:val="PageNumber"/>
      </w:rPr>
      <w:fldChar w:fldCharType="begin"/>
    </w:r>
    <w:r w:rsidRPr="003C3817">
      <w:rPr>
        <w:rStyle w:val="PageNumber"/>
      </w:rPr>
      <w:instrText xml:space="preserve"> PAGE  \* MERGEFORMAT </w:instrText>
    </w:r>
    <w:r w:rsidRPr="003C3817">
      <w:rPr>
        <w:rStyle w:val="PageNumber"/>
      </w:rPr>
      <w:fldChar w:fldCharType="separate"/>
    </w:r>
    <w:r w:rsidRPr="003C3817">
      <w:rPr>
        <w:rStyle w:val="PageNumber"/>
      </w:rPr>
      <w:t>2</w:t>
    </w:r>
    <w:r w:rsidRPr="003C3817">
      <w:rPr>
        <w:rStyle w:val="PageNumber"/>
      </w:rPr>
      <w:fldChar w:fldCharType="end"/>
    </w:r>
    <w:r>
      <w:t xml:space="preserve"> -</w:t>
    </w:r>
    <w:r w:rsidRPr="003C38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322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23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222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00F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CC4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A8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FA4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47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5C6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4C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1CBE"/>
    <w:multiLevelType w:val="hybridMultilevel"/>
    <w:tmpl w:val="4C0AA402"/>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12AB67B4"/>
    <w:multiLevelType w:val="multilevel"/>
    <w:tmpl w:val="4D4A90BA"/>
    <w:name w:val="zzmpArtBJSty||ArtBJSty|2|1|1|4|2|41||1|12|33||1|12|32||1|12|32||1|12|32||1|12|32||1|12|32||1|12|32||mpNA||"/>
    <w:lvl w:ilvl="0">
      <w:start w:val="1"/>
      <w:numFmt w:val="decimal"/>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none"/>
        <w:effect w:val="none"/>
        <w:vertAlign w:val="baseline"/>
      </w:rPr>
    </w:lvl>
    <w:lvl w:ilvl="1">
      <w:start w:val="1"/>
      <w:numFmt w:val="decimal"/>
      <w:isLgl/>
      <w:lvlText w:val="%1.%2"/>
      <w:lvlJc w:val="left"/>
      <w:pPr>
        <w:tabs>
          <w:tab w:val="num" w:pos="720"/>
        </w:tabs>
        <w:ind w:left="720" w:hanging="720"/>
      </w:pPr>
      <w:rPr>
        <w:b/>
        <w:i w:val="0"/>
        <w:caps w:val="0"/>
        <w:strike w:val="0"/>
        <w:dstrike w:val="0"/>
        <w:outline w:val="0"/>
        <w:shadow w:val="0"/>
        <w:emboss w:val="0"/>
        <w:imprint w:val="0"/>
        <w:vanish w:val="0"/>
        <w:color w:val="auto"/>
        <w:u w:val="none"/>
        <w:effect w:val="none"/>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4320"/>
        </w:tabs>
        <w:ind w:left="4320" w:hanging="720"/>
      </w:pPr>
      <w:rPr>
        <w:b w:val="0"/>
        <w:i w:val="0"/>
        <w:caps w:val="0"/>
        <w:strike w:val="0"/>
        <w:dstrike w:val="0"/>
        <w:outline w:val="0"/>
        <w:shadow w:val="0"/>
        <w:emboss w:val="0"/>
        <w:imprint w:val="0"/>
        <w:vanish w:val="0"/>
        <w:color w:val="auto"/>
        <w:u w:val="none"/>
        <w:effect w:val="none"/>
        <w:vertAlign w:val="baseline"/>
      </w:rPr>
    </w:lvl>
    <w:lvl w:ilvl="7">
      <w:start w:val="1"/>
      <w:numFmt w:val="lowerRoman"/>
      <w:lvlText w:val="%8)"/>
      <w:lvlJc w:val="left"/>
      <w:pPr>
        <w:tabs>
          <w:tab w:val="num" w:pos="5040"/>
        </w:tabs>
        <w:ind w:left="504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3240"/>
        </w:tabs>
        <w:ind w:left="3240" w:hanging="360"/>
      </w:pPr>
    </w:lvl>
  </w:abstractNum>
  <w:abstractNum w:abstractNumId="13"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4" w15:restartNumberingAfterBreak="0">
    <w:nsid w:val="1E3A51DA"/>
    <w:multiLevelType w:val="hybridMultilevel"/>
    <w:tmpl w:val="B338017C"/>
    <w:lvl w:ilvl="0" w:tplc="04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591611D"/>
    <w:multiLevelType w:val="hybridMultilevel"/>
    <w:tmpl w:val="425E7FE6"/>
    <w:lvl w:ilvl="0" w:tplc="DA70A87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53F9E"/>
    <w:multiLevelType w:val="multilevel"/>
    <w:tmpl w:val="AA309E26"/>
    <w:name w:val="zzmpRecital||Recital|3|1|1|1|2|32||1|12|32||mpNA||mpNA||mpNA||mpNA||mpNA||mpNA||mpNA||"/>
    <w:lvl w:ilvl="0">
      <w:start w:val="1"/>
      <w:numFmt w:val="upperLetter"/>
      <w:pStyle w:val="Recital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Roman"/>
      <w:pStyle w:val="RecitalL2"/>
      <w:lvlText w:val="(%2)"/>
      <w:lvlJc w:val="left"/>
      <w:pPr>
        <w:tabs>
          <w:tab w:val="num" w:pos="1440"/>
        </w:tabs>
        <w:ind w:left="1440" w:hanging="72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b w:val="0"/>
        <w:i w:val="0"/>
        <w:caps w:val="0"/>
        <w:color w:val="auto"/>
        <w:u w:val="none"/>
      </w:rPr>
    </w:lvl>
    <w:lvl w:ilvl="5">
      <w:start w:val="1"/>
      <w:numFmt w:val="none"/>
      <w:suff w:val="nothing"/>
      <w:lvlText w:val=""/>
      <w:lvlJc w:val="left"/>
      <w:pPr>
        <w:tabs>
          <w:tab w:val="num" w:pos="720"/>
        </w:tabs>
        <w:ind w:left="0" w:firstLine="0"/>
      </w:pPr>
      <w:rPr>
        <w:b w:val="0"/>
        <w:i w:val="0"/>
        <w:caps w:val="0"/>
        <w:color w:val="auto"/>
        <w:u w:val="none"/>
      </w:rPr>
    </w:lvl>
    <w:lvl w:ilvl="6">
      <w:start w:val="1"/>
      <w:numFmt w:val="none"/>
      <w:suff w:val="nothing"/>
      <w:lvlText w:val=""/>
      <w:lvlJc w:val="left"/>
      <w:pPr>
        <w:tabs>
          <w:tab w:val="num" w:pos="720"/>
        </w:tabs>
        <w:ind w:left="0" w:firstLine="0"/>
      </w:pPr>
      <w:rPr>
        <w:b w:val="0"/>
        <w:i w:val="0"/>
        <w:caps w:val="0"/>
        <w:color w:val="auto"/>
        <w:u w:val="none"/>
      </w:rPr>
    </w:lvl>
    <w:lvl w:ilvl="7">
      <w:start w:val="1"/>
      <w:numFmt w:val="none"/>
      <w:suff w:val="nothing"/>
      <w:lvlText w:val=""/>
      <w:lvlJc w:val="left"/>
      <w:pPr>
        <w:tabs>
          <w:tab w:val="num" w:pos="720"/>
        </w:tabs>
        <w:ind w:left="0" w:firstLine="0"/>
      </w:pPr>
      <w:rPr>
        <w:b w:val="0"/>
        <w:i w:val="0"/>
        <w:caps w:val="0"/>
        <w:color w:val="auto"/>
        <w:u w:val="none"/>
      </w:rPr>
    </w:lvl>
    <w:lvl w:ilvl="8">
      <w:start w:val="1"/>
      <w:numFmt w:val="none"/>
      <w:suff w:val="nothing"/>
      <w:lvlText w:val=""/>
      <w:lvlJc w:val="left"/>
      <w:pPr>
        <w:tabs>
          <w:tab w:val="num" w:pos="720"/>
        </w:tabs>
        <w:ind w:left="0" w:firstLine="0"/>
      </w:pPr>
      <w:rPr>
        <w:b w:val="0"/>
        <w:i w:val="0"/>
        <w:caps w:val="0"/>
        <w:color w:val="auto"/>
        <w:u w:val="none"/>
      </w:rPr>
    </w:lvl>
  </w:abstractNum>
  <w:abstractNum w:abstractNumId="20" w15:restartNumberingAfterBreak="0">
    <w:nsid w:val="47D73AD9"/>
    <w:multiLevelType w:val="multilevel"/>
    <w:tmpl w:val="C0C0F646"/>
    <w:name w:val="zzmpStandard||Standard|2|1|1|1|12|32||1|12|32||1|12|32||1|12|32||1|12|32||1|12|32||1|12|32||1|12|32||1|12|32||"/>
    <w:lvl w:ilvl="0">
      <w:start w:val="1"/>
      <w:numFmt w:val="decimal"/>
      <w:lvlText w:val="%1."/>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1">
      <w:start w:val="1"/>
      <w:numFmt w:val="lowerLetter"/>
      <w:lvlText w:val="(%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lvl w:ilvl="5">
      <w:start w:val="1"/>
      <w:numFmt w:val="lowerLetter"/>
      <w:lvlText w:val="%6)"/>
      <w:lvlJc w:val="left"/>
      <w:pPr>
        <w:tabs>
          <w:tab w:val="num" w:pos="4320"/>
        </w:tabs>
        <w:ind w:left="4320" w:hanging="720"/>
      </w:pPr>
      <w:rPr>
        <w:b w:val="0"/>
        <w:i w:val="0"/>
        <w:caps w:val="0"/>
        <w:strike w:val="0"/>
        <w:dstrike w:val="0"/>
        <w:outline w:val="0"/>
        <w:shadow w:val="0"/>
        <w:emboss w:val="0"/>
        <w:imprint w:val="0"/>
        <w:vanish w:val="0"/>
        <w:color w:val="auto"/>
        <w:u w:val="none"/>
        <w:effect w:val="none"/>
        <w:vertAlign w:val="baseline"/>
      </w:rPr>
    </w:lvl>
    <w:lvl w:ilvl="6">
      <w:start w:val="1"/>
      <w:numFmt w:val="lowerRoman"/>
      <w:lvlText w:val="%7)"/>
      <w:lvlJc w:val="left"/>
      <w:pPr>
        <w:tabs>
          <w:tab w:val="num" w:pos="5040"/>
        </w:tabs>
        <w:ind w:left="5040" w:hanging="720"/>
      </w:pPr>
      <w:rPr>
        <w:b w:val="0"/>
        <w:i w:val="0"/>
        <w:caps w:val="0"/>
        <w:strike w:val="0"/>
        <w:dstrike w:val="0"/>
        <w:outline w:val="0"/>
        <w:shadow w:val="0"/>
        <w:emboss w:val="0"/>
        <w:imprint w:val="0"/>
        <w:vanish w:val="0"/>
        <w:color w:val="auto"/>
        <w:u w:val="none"/>
        <w:effect w:val="none"/>
        <w:vertAlign w:val="baseline"/>
      </w:rPr>
    </w:lvl>
    <w:lvl w:ilvl="7">
      <w:start w:val="1"/>
      <w:numFmt w:val="upperLetter"/>
      <w:lvlText w:val="%8)"/>
      <w:lvlJc w:val="left"/>
      <w:pPr>
        <w:tabs>
          <w:tab w:val="num" w:pos="5760"/>
        </w:tabs>
        <w:ind w:left="5760" w:hanging="720"/>
      </w:pPr>
      <w:rPr>
        <w:b w:val="0"/>
        <w:i w:val="0"/>
        <w:caps w:val="0"/>
        <w:strike w:val="0"/>
        <w:dstrike w:val="0"/>
        <w:outline w:val="0"/>
        <w:shadow w:val="0"/>
        <w:emboss w:val="0"/>
        <w:imprint w:val="0"/>
        <w:vanish w:val="0"/>
        <w:color w:val="auto"/>
        <w:u w:val="none"/>
        <w:effect w:val="none"/>
        <w:vertAlign w:val="baseline"/>
      </w:rPr>
    </w:lvl>
    <w:lvl w:ilvl="8">
      <w:start w:val="1"/>
      <w:numFmt w:val="decimal"/>
      <w:lvlText w:val="%9)"/>
      <w:lvlJc w:val="left"/>
      <w:pPr>
        <w:tabs>
          <w:tab w:val="num" w:pos="6480"/>
        </w:tabs>
        <w:ind w:left="6480" w:hanging="720"/>
      </w:pPr>
      <w:rPr>
        <w:b w:val="0"/>
        <w:i w:val="0"/>
        <w:caps w:val="0"/>
        <w:strike w:val="0"/>
        <w:dstrike w:val="0"/>
        <w:outline w:val="0"/>
        <w:shadow w:val="0"/>
        <w:emboss w:val="0"/>
        <w:imprint w:val="0"/>
        <w:vanish w:val="0"/>
        <w:color w:val="auto"/>
        <w:u w:val="none"/>
        <w:effect w:val="none"/>
        <w:vertAlign w:val="baseline"/>
      </w:rPr>
    </w:lvl>
  </w:abstractNum>
  <w:abstractNum w:abstractNumId="21" w15:restartNumberingAfterBreak="0">
    <w:nsid w:val="489D04DE"/>
    <w:multiLevelType w:val="hybridMultilevel"/>
    <w:tmpl w:val="6A2482BE"/>
    <w:lvl w:ilvl="0" w:tplc="5BE8372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8050E1"/>
    <w:multiLevelType w:val="hybridMultilevel"/>
    <w:tmpl w:val="F8E05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0755247">
    <w:abstractNumId w:val="16"/>
  </w:num>
  <w:num w:numId="2" w16cid:durableId="355737573">
    <w:abstractNumId w:val="24"/>
  </w:num>
  <w:num w:numId="3" w16cid:durableId="1021277095">
    <w:abstractNumId w:val="23"/>
  </w:num>
  <w:num w:numId="4" w16cid:durableId="77021224">
    <w:abstractNumId w:val="17"/>
  </w:num>
  <w:num w:numId="5" w16cid:durableId="265579920">
    <w:abstractNumId w:val="18"/>
  </w:num>
  <w:num w:numId="6" w16cid:durableId="834565196">
    <w:abstractNumId w:val="13"/>
  </w:num>
  <w:num w:numId="7" w16cid:durableId="86119756">
    <w:abstractNumId w:val="25"/>
  </w:num>
  <w:num w:numId="8" w16cid:durableId="1506047994">
    <w:abstractNumId w:val="11"/>
  </w:num>
  <w:num w:numId="9" w16cid:durableId="2089381873">
    <w:abstractNumId w:val="9"/>
  </w:num>
  <w:num w:numId="10" w16cid:durableId="1631740711">
    <w:abstractNumId w:val="7"/>
  </w:num>
  <w:num w:numId="11" w16cid:durableId="736242728">
    <w:abstractNumId w:val="6"/>
  </w:num>
  <w:num w:numId="12" w16cid:durableId="1210073185">
    <w:abstractNumId w:val="5"/>
  </w:num>
  <w:num w:numId="13" w16cid:durableId="859468452">
    <w:abstractNumId w:val="4"/>
  </w:num>
  <w:num w:numId="14" w16cid:durableId="1770926171">
    <w:abstractNumId w:val="8"/>
  </w:num>
  <w:num w:numId="15" w16cid:durableId="1787040563">
    <w:abstractNumId w:val="3"/>
  </w:num>
  <w:num w:numId="16" w16cid:durableId="717626774">
    <w:abstractNumId w:val="2"/>
  </w:num>
  <w:num w:numId="17" w16cid:durableId="1731267815">
    <w:abstractNumId w:val="1"/>
  </w:num>
  <w:num w:numId="18" w16cid:durableId="959074452">
    <w:abstractNumId w:val="0"/>
  </w:num>
  <w:num w:numId="19" w16cid:durableId="249317892">
    <w:abstractNumId w:val="19"/>
  </w:num>
  <w:num w:numId="20" w16cid:durableId="1288052695">
    <w:abstractNumId w:val="20"/>
  </w:num>
  <w:num w:numId="21" w16cid:durableId="612594507">
    <w:abstractNumId w:val="20"/>
  </w:num>
  <w:num w:numId="22" w16cid:durableId="1794863761">
    <w:abstractNumId w:val="20"/>
  </w:num>
  <w:num w:numId="23" w16cid:durableId="1963414828">
    <w:abstractNumId w:val="20"/>
  </w:num>
  <w:num w:numId="24" w16cid:durableId="1852067899">
    <w:abstractNumId w:val="20"/>
  </w:num>
  <w:num w:numId="25" w16cid:durableId="390155154">
    <w:abstractNumId w:val="20"/>
  </w:num>
  <w:num w:numId="26" w16cid:durableId="1930002003">
    <w:abstractNumId w:val="20"/>
  </w:num>
  <w:num w:numId="27" w16cid:durableId="622662853">
    <w:abstractNumId w:val="20"/>
  </w:num>
  <w:num w:numId="28" w16cid:durableId="141702303">
    <w:abstractNumId w:val="20"/>
  </w:num>
  <w:num w:numId="29" w16cid:durableId="1053191273">
    <w:abstractNumId w:val="12"/>
  </w:num>
  <w:num w:numId="30" w16cid:durableId="580145629">
    <w:abstractNumId w:val="22"/>
  </w:num>
  <w:num w:numId="31" w16cid:durableId="1753700645">
    <w:abstractNumId w:val="21"/>
  </w:num>
  <w:num w:numId="32" w16cid:durableId="1663851486">
    <w:abstractNumId w:val="14"/>
  </w:num>
  <w:num w:numId="33" w16cid:durableId="722214907">
    <w:abstractNumId w:val="10"/>
  </w:num>
  <w:num w:numId="34" w16cid:durableId="1861775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01"/>
    <w:rsid w:val="00001641"/>
    <w:rsid w:val="0000548D"/>
    <w:rsid w:val="00016CD8"/>
    <w:rsid w:val="0002084F"/>
    <w:rsid w:val="00024622"/>
    <w:rsid w:val="00031386"/>
    <w:rsid w:val="000324FC"/>
    <w:rsid w:val="00032A86"/>
    <w:rsid w:val="00045AC6"/>
    <w:rsid w:val="00045D47"/>
    <w:rsid w:val="000507A1"/>
    <w:rsid w:val="00053630"/>
    <w:rsid w:val="00056B3A"/>
    <w:rsid w:val="0006254B"/>
    <w:rsid w:val="00070CD6"/>
    <w:rsid w:val="00071C42"/>
    <w:rsid w:val="00074A08"/>
    <w:rsid w:val="00075BE7"/>
    <w:rsid w:val="0007621D"/>
    <w:rsid w:val="000768EE"/>
    <w:rsid w:val="00081337"/>
    <w:rsid w:val="00083A38"/>
    <w:rsid w:val="000866FF"/>
    <w:rsid w:val="00092586"/>
    <w:rsid w:val="00092A27"/>
    <w:rsid w:val="000931B9"/>
    <w:rsid w:val="000A0274"/>
    <w:rsid w:val="000A0855"/>
    <w:rsid w:val="000A257B"/>
    <w:rsid w:val="000A2800"/>
    <w:rsid w:val="000A2B04"/>
    <w:rsid w:val="000A6BAF"/>
    <w:rsid w:val="000B39A3"/>
    <w:rsid w:val="000C3D05"/>
    <w:rsid w:val="000C6218"/>
    <w:rsid w:val="000D11A4"/>
    <w:rsid w:val="000D2831"/>
    <w:rsid w:val="000D3EB6"/>
    <w:rsid w:val="000D6ACD"/>
    <w:rsid w:val="000E2096"/>
    <w:rsid w:val="000E4C71"/>
    <w:rsid w:val="000E5701"/>
    <w:rsid w:val="000F5995"/>
    <w:rsid w:val="00101370"/>
    <w:rsid w:val="00102C04"/>
    <w:rsid w:val="00112E4E"/>
    <w:rsid w:val="00116E72"/>
    <w:rsid w:val="001224D0"/>
    <w:rsid w:val="0012502C"/>
    <w:rsid w:val="00125B63"/>
    <w:rsid w:val="00126CE0"/>
    <w:rsid w:val="0013008A"/>
    <w:rsid w:val="001344B5"/>
    <w:rsid w:val="001360B3"/>
    <w:rsid w:val="00144B14"/>
    <w:rsid w:val="001514ED"/>
    <w:rsid w:val="00151B0B"/>
    <w:rsid w:val="00151ED7"/>
    <w:rsid w:val="0015480A"/>
    <w:rsid w:val="00155862"/>
    <w:rsid w:val="00156051"/>
    <w:rsid w:val="00156C75"/>
    <w:rsid w:val="00162067"/>
    <w:rsid w:val="00162999"/>
    <w:rsid w:val="001647A1"/>
    <w:rsid w:val="00164F0F"/>
    <w:rsid w:val="00167F4C"/>
    <w:rsid w:val="00171754"/>
    <w:rsid w:val="0017210A"/>
    <w:rsid w:val="0017277B"/>
    <w:rsid w:val="001763D2"/>
    <w:rsid w:val="00183BCC"/>
    <w:rsid w:val="001929B8"/>
    <w:rsid w:val="00195D55"/>
    <w:rsid w:val="001A33B6"/>
    <w:rsid w:val="001A3A88"/>
    <w:rsid w:val="001A47CA"/>
    <w:rsid w:val="001A7AE1"/>
    <w:rsid w:val="001B1B61"/>
    <w:rsid w:val="001B6DFC"/>
    <w:rsid w:val="001C17D1"/>
    <w:rsid w:val="001C2745"/>
    <w:rsid w:val="001C28CC"/>
    <w:rsid w:val="001D02BA"/>
    <w:rsid w:val="001D15FB"/>
    <w:rsid w:val="001E06B1"/>
    <w:rsid w:val="001E16D2"/>
    <w:rsid w:val="001F0195"/>
    <w:rsid w:val="001F06F6"/>
    <w:rsid w:val="001F669B"/>
    <w:rsid w:val="001F7546"/>
    <w:rsid w:val="002001EA"/>
    <w:rsid w:val="0020060A"/>
    <w:rsid w:val="00200BFE"/>
    <w:rsid w:val="002042ED"/>
    <w:rsid w:val="00207292"/>
    <w:rsid w:val="002100C7"/>
    <w:rsid w:val="002119A9"/>
    <w:rsid w:val="00214FCC"/>
    <w:rsid w:val="00216435"/>
    <w:rsid w:val="00221355"/>
    <w:rsid w:val="00222397"/>
    <w:rsid w:val="0022340B"/>
    <w:rsid w:val="00227DC7"/>
    <w:rsid w:val="00234424"/>
    <w:rsid w:val="002378C5"/>
    <w:rsid w:val="00237A61"/>
    <w:rsid w:val="00240FBE"/>
    <w:rsid w:val="002433D6"/>
    <w:rsid w:val="00243BB2"/>
    <w:rsid w:val="00243FD8"/>
    <w:rsid w:val="002462F4"/>
    <w:rsid w:val="00250191"/>
    <w:rsid w:val="00251628"/>
    <w:rsid w:val="00254592"/>
    <w:rsid w:val="00256597"/>
    <w:rsid w:val="00257BF9"/>
    <w:rsid w:val="00263CC9"/>
    <w:rsid w:val="00266AC7"/>
    <w:rsid w:val="00270A4E"/>
    <w:rsid w:val="00271A2F"/>
    <w:rsid w:val="00276572"/>
    <w:rsid w:val="00280222"/>
    <w:rsid w:val="0028708E"/>
    <w:rsid w:val="0029626C"/>
    <w:rsid w:val="002A2217"/>
    <w:rsid w:val="002A2D58"/>
    <w:rsid w:val="002A39AE"/>
    <w:rsid w:val="002A72E3"/>
    <w:rsid w:val="002B46FD"/>
    <w:rsid w:val="002B47BA"/>
    <w:rsid w:val="002B5283"/>
    <w:rsid w:val="002B5D91"/>
    <w:rsid w:val="002C0463"/>
    <w:rsid w:val="002D04AC"/>
    <w:rsid w:val="002D2A6D"/>
    <w:rsid w:val="002D56C3"/>
    <w:rsid w:val="002E2B7A"/>
    <w:rsid w:val="002E331D"/>
    <w:rsid w:val="002F21C4"/>
    <w:rsid w:val="00303AB0"/>
    <w:rsid w:val="00303FAB"/>
    <w:rsid w:val="003071CC"/>
    <w:rsid w:val="00310513"/>
    <w:rsid w:val="00310C0F"/>
    <w:rsid w:val="0031145D"/>
    <w:rsid w:val="00313A24"/>
    <w:rsid w:val="003174E7"/>
    <w:rsid w:val="00317FC0"/>
    <w:rsid w:val="00323794"/>
    <w:rsid w:val="00324131"/>
    <w:rsid w:val="00324EF5"/>
    <w:rsid w:val="003301E6"/>
    <w:rsid w:val="00342006"/>
    <w:rsid w:val="0034581F"/>
    <w:rsid w:val="0035300F"/>
    <w:rsid w:val="00353CB7"/>
    <w:rsid w:val="00357C41"/>
    <w:rsid w:val="00360E9A"/>
    <w:rsid w:val="00365E5B"/>
    <w:rsid w:val="00366321"/>
    <w:rsid w:val="00366C83"/>
    <w:rsid w:val="00367746"/>
    <w:rsid w:val="00367E7A"/>
    <w:rsid w:val="00374B68"/>
    <w:rsid w:val="0038232C"/>
    <w:rsid w:val="003844BC"/>
    <w:rsid w:val="003904B3"/>
    <w:rsid w:val="00390AB4"/>
    <w:rsid w:val="003916DA"/>
    <w:rsid w:val="00392F34"/>
    <w:rsid w:val="00393110"/>
    <w:rsid w:val="003958C9"/>
    <w:rsid w:val="00396678"/>
    <w:rsid w:val="00397806"/>
    <w:rsid w:val="003A22BE"/>
    <w:rsid w:val="003A5F2D"/>
    <w:rsid w:val="003A79B1"/>
    <w:rsid w:val="003B24FB"/>
    <w:rsid w:val="003B31D2"/>
    <w:rsid w:val="003B4A98"/>
    <w:rsid w:val="003B5E3B"/>
    <w:rsid w:val="003B7153"/>
    <w:rsid w:val="003B7C45"/>
    <w:rsid w:val="003C1F0A"/>
    <w:rsid w:val="003C21C6"/>
    <w:rsid w:val="003C2725"/>
    <w:rsid w:val="003C2B7F"/>
    <w:rsid w:val="003C3817"/>
    <w:rsid w:val="003C5F71"/>
    <w:rsid w:val="003C6564"/>
    <w:rsid w:val="003D007D"/>
    <w:rsid w:val="003D0FDC"/>
    <w:rsid w:val="003D2DC2"/>
    <w:rsid w:val="003D3953"/>
    <w:rsid w:val="003D6253"/>
    <w:rsid w:val="003E3FF6"/>
    <w:rsid w:val="003E70F4"/>
    <w:rsid w:val="003F1703"/>
    <w:rsid w:val="003F27B7"/>
    <w:rsid w:val="003F2AFF"/>
    <w:rsid w:val="003F7EEB"/>
    <w:rsid w:val="004002C9"/>
    <w:rsid w:val="00401506"/>
    <w:rsid w:val="00402E2C"/>
    <w:rsid w:val="00405B55"/>
    <w:rsid w:val="00406D5D"/>
    <w:rsid w:val="004076F7"/>
    <w:rsid w:val="0041386B"/>
    <w:rsid w:val="004144A8"/>
    <w:rsid w:val="00416A86"/>
    <w:rsid w:val="004216DA"/>
    <w:rsid w:val="00427D54"/>
    <w:rsid w:val="004334BE"/>
    <w:rsid w:val="00433B9F"/>
    <w:rsid w:val="00436911"/>
    <w:rsid w:val="0044035C"/>
    <w:rsid w:val="00440690"/>
    <w:rsid w:val="00445626"/>
    <w:rsid w:val="004530BF"/>
    <w:rsid w:val="004536BE"/>
    <w:rsid w:val="004559BF"/>
    <w:rsid w:val="00456ED8"/>
    <w:rsid w:val="004578E3"/>
    <w:rsid w:val="0046094C"/>
    <w:rsid w:val="00460D0C"/>
    <w:rsid w:val="0046131A"/>
    <w:rsid w:val="00464F82"/>
    <w:rsid w:val="00467DFF"/>
    <w:rsid w:val="00474259"/>
    <w:rsid w:val="004767ED"/>
    <w:rsid w:val="0047712A"/>
    <w:rsid w:val="00483094"/>
    <w:rsid w:val="00491A0B"/>
    <w:rsid w:val="00492717"/>
    <w:rsid w:val="00497645"/>
    <w:rsid w:val="004A0CB2"/>
    <w:rsid w:val="004A1DC0"/>
    <w:rsid w:val="004A2D2D"/>
    <w:rsid w:val="004B4106"/>
    <w:rsid w:val="004B5B45"/>
    <w:rsid w:val="004C1568"/>
    <w:rsid w:val="004C1A27"/>
    <w:rsid w:val="004C3001"/>
    <w:rsid w:val="004C5AA0"/>
    <w:rsid w:val="004C6429"/>
    <w:rsid w:val="004D697E"/>
    <w:rsid w:val="004E1B3B"/>
    <w:rsid w:val="004E2EB8"/>
    <w:rsid w:val="004E6D27"/>
    <w:rsid w:val="004F0353"/>
    <w:rsid w:val="004F1A14"/>
    <w:rsid w:val="00505049"/>
    <w:rsid w:val="00505C35"/>
    <w:rsid w:val="00510AD9"/>
    <w:rsid w:val="005118B8"/>
    <w:rsid w:val="00517793"/>
    <w:rsid w:val="00520E2A"/>
    <w:rsid w:val="00527C1A"/>
    <w:rsid w:val="0053179D"/>
    <w:rsid w:val="005324B4"/>
    <w:rsid w:val="0053359C"/>
    <w:rsid w:val="005540D5"/>
    <w:rsid w:val="005555D9"/>
    <w:rsid w:val="005564EE"/>
    <w:rsid w:val="00562E9A"/>
    <w:rsid w:val="005640F3"/>
    <w:rsid w:val="00567D20"/>
    <w:rsid w:val="00572D5F"/>
    <w:rsid w:val="00573841"/>
    <w:rsid w:val="00575B58"/>
    <w:rsid w:val="00581820"/>
    <w:rsid w:val="00584362"/>
    <w:rsid w:val="00585042"/>
    <w:rsid w:val="00585C84"/>
    <w:rsid w:val="00586085"/>
    <w:rsid w:val="00593589"/>
    <w:rsid w:val="005A0D27"/>
    <w:rsid w:val="005A1EF0"/>
    <w:rsid w:val="005A4DD1"/>
    <w:rsid w:val="005A52D8"/>
    <w:rsid w:val="005A7352"/>
    <w:rsid w:val="005B1236"/>
    <w:rsid w:val="005B30A4"/>
    <w:rsid w:val="005B32AD"/>
    <w:rsid w:val="005B70BB"/>
    <w:rsid w:val="005B7D04"/>
    <w:rsid w:val="005C78E2"/>
    <w:rsid w:val="005D05BE"/>
    <w:rsid w:val="005D0F9A"/>
    <w:rsid w:val="005D1B2E"/>
    <w:rsid w:val="005D3A17"/>
    <w:rsid w:val="005D5395"/>
    <w:rsid w:val="005D617B"/>
    <w:rsid w:val="005E7D8E"/>
    <w:rsid w:val="005F0749"/>
    <w:rsid w:val="005F10A4"/>
    <w:rsid w:val="005F7E64"/>
    <w:rsid w:val="006039FB"/>
    <w:rsid w:val="006058F0"/>
    <w:rsid w:val="00610373"/>
    <w:rsid w:val="00610B21"/>
    <w:rsid w:val="006149C4"/>
    <w:rsid w:val="00623B21"/>
    <w:rsid w:val="00623D64"/>
    <w:rsid w:val="006246B7"/>
    <w:rsid w:val="00624E3A"/>
    <w:rsid w:val="00630744"/>
    <w:rsid w:val="00632453"/>
    <w:rsid w:val="006341E4"/>
    <w:rsid w:val="00635BE7"/>
    <w:rsid w:val="006461EC"/>
    <w:rsid w:val="00650D8A"/>
    <w:rsid w:val="006516BC"/>
    <w:rsid w:val="006517BC"/>
    <w:rsid w:val="006518F2"/>
    <w:rsid w:val="00652CEF"/>
    <w:rsid w:val="00654FED"/>
    <w:rsid w:val="0065515F"/>
    <w:rsid w:val="00655745"/>
    <w:rsid w:val="006570E1"/>
    <w:rsid w:val="006603C6"/>
    <w:rsid w:val="00663A16"/>
    <w:rsid w:val="00663A78"/>
    <w:rsid w:val="006658C7"/>
    <w:rsid w:val="0067103B"/>
    <w:rsid w:val="006756FF"/>
    <w:rsid w:val="00677E8F"/>
    <w:rsid w:val="006824B0"/>
    <w:rsid w:val="0068447E"/>
    <w:rsid w:val="00684EA8"/>
    <w:rsid w:val="00693767"/>
    <w:rsid w:val="006A2F85"/>
    <w:rsid w:val="006A72ED"/>
    <w:rsid w:val="006B0047"/>
    <w:rsid w:val="006B0BF5"/>
    <w:rsid w:val="006B1462"/>
    <w:rsid w:val="006B1C37"/>
    <w:rsid w:val="006B2915"/>
    <w:rsid w:val="006B70E4"/>
    <w:rsid w:val="006B71B3"/>
    <w:rsid w:val="006C2F5F"/>
    <w:rsid w:val="006D1463"/>
    <w:rsid w:val="006D33F4"/>
    <w:rsid w:val="006D6B5D"/>
    <w:rsid w:val="006D76DF"/>
    <w:rsid w:val="006E0A73"/>
    <w:rsid w:val="006E1D0D"/>
    <w:rsid w:val="006E21A5"/>
    <w:rsid w:val="006E2415"/>
    <w:rsid w:val="006E44E7"/>
    <w:rsid w:val="006E77DF"/>
    <w:rsid w:val="006E7D2F"/>
    <w:rsid w:val="006F0012"/>
    <w:rsid w:val="006F18AF"/>
    <w:rsid w:val="006F2C30"/>
    <w:rsid w:val="006F76B5"/>
    <w:rsid w:val="007039C2"/>
    <w:rsid w:val="00704352"/>
    <w:rsid w:val="0070638F"/>
    <w:rsid w:val="007068C1"/>
    <w:rsid w:val="00711A3F"/>
    <w:rsid w:val="00714605"/>
    <w:rsid w:val="00724331"/>
    <w:rsid w:val="00733C13"/>
    <w:rsid w:val="00745178"/>
    <w:rsid w:val="0074680C"/>
    <w:rsid w:val="00755005"/>
    <w:rsid w:val="00755457"/>
    <w:rsid w:val="00756D43"/>
    <w:rsid w:val="00762329"/>
    <w:rsid w:val="00770D98"/>
    <w:rsid w:val="00773134"/>
    <w:rsid w:val="007767CA"/>
    <w:rsid w:val="007812D8"/>
    <w:rsid w:val="00784E11"/>
    <w:rsid w:val="0078596A"/>
    <w:rsid w:val="00786347"/>
    <w:rsid w:val="00790DB1"/>
    <w:rsid w:val="00796331"/>
    <w:rsid w:val="00796BDA"/>
    <w:rsid w:val="00797642"/>
    <w:rsid w:val="007A2EFC"/>
    <w:rsid w:val="007A33BD"/>
    <w:rsid w:val="007A568E"/>
    <w:rsid w:val="007A76B4"/>
    <w:rsid w:val="007B43AA"/>
    <w:rsid w:val="007B48E9"/>
    <w:rsid w:val="007B6D87"/>
    <w:rsid w:val="007B7539"/>
    <w:rsid w:val="007C1793"/>
    <w:rsid w:val="007C50F9"/>
    <w:rsid w:val="007C5488"/>
    <w:rsid w:val="007D4A86"/>
    <w:rsid w:val="007D698A"/>
    <w:rsid w:val="007E6109"/>
    <w:rsid w:val="007F2147"/>
    <w:rsid w:val="007F6E10"/>
    <w:rsid w:val="007F702A"/>
    <w:rsid w:val="008003DD"/>
    <w:rsid w:val="00802042"/>
    <w:rsid w:val="00802999"/>
    <w:rsid w:val="008048F4"/>
    <w:rsid w:val="0081099E"/>
    <w:rsid w:val="008132AF"/>
    <w:rsid w:val="00813861"/>
    <w:rsid w:val="00815635"/>
    <w:rsid w:val="00817D5F"/>
    <w:rsid w:val="00821549"/>
    <w:rsid w:val="00823F1C"/>
    <w:rsid w:val="00824CB9"/>
    <w:rsid w:val="00834AC8"/>
    <w:rsid w:val="00836772"/>
    <w:rsid w:val="00836E02"/>
    <w:rsid w:val="008374FB"/>
    <w:rsid w:val="00837D6E"/>
    <w:rsid w:val="0085406C"/>
    <w:rsid w:val="008551E8"/>
    <w:rsid w:val="0085772D"/>
    <w:rsid w:val="00860E29"/>
    <w:rsid w:val="00861686"/>
    <w:rsid w:val="008631A7"/>
    <w:rsid w:val="00863D5B"/>
    <w:rsid w:val="00870A4D"/>
    <w:rsid w:val="0088094E"/>
    <w:rsid w:val="00880E7E"/>
    <w:rsid w:val="00881794"/>
    <w:rsid w:val="00882BAA"/>
    <w:rsid w:val="00885537"/>
    <w:rsid w:val="00894DC1"/>
    <w:rsid w:val="00895B18"/>
    <w:rsid w:val="0089694A"/>
    <w:rsid w:val="008A1E76"/>
    <w:rsid w:val="008A1FEE"/>
    <w:rsid w:val="008A4B8C"/>
    <w:rsid w:val="008A5C64"/>
    <w:rsid w:val="008A6F5C"/>
    <w:rsid w:val="008A75FF"/>
    <w:rsid w:val="008B0DC0"/>
    <w:rsid w:val="008B0DD7"/>
    <w:rsid w:val="008B0E3F"/>
    <w:rsid w:val="008B1BF6"/>
    <w:rsid w:val="008B4D19"/>
    <w:rsid w:val="008B5E7D"/>
    <w:rsid w:val="008B752F"/>
    <w:rsid w:val="008C3E3E"/>
    <w:rsid w:val="008C68A8"/>
    <w:rsid w:val="008C7057"/>
    <w:rsid w:val="008D105E"/>
    <w:rsid w:val="008D543E"/>
    <w:rsid w:val="008D7489"/>
    <w:rsid w:val="008E5D9B"/>
    <w:rsid w:val="008E5EF3"/>
    <w:rsid w:val="008E7D98"/>
    <w:rsid w:val="008F25AE"/>
    <w:rsid w:val="008F2A18"/>
    <w:rsid w:val="008F3290"/>
    <w:rsid w:val="008F6B02"/>
    <w:rsid w:val="0090387B"/>
    <w:rsid w:val="009048D9"/>
    <w:rsid w:val="00906208"/>
    <w:rsid w:val="00907E35"/>
    <w:rsid w:val="00910B97"/>
    <w:rsid w:val="009146C5"/>
    <w:rsid w:val="0091769A"/>
    <w:rsid w:val="00921A28"/>
    <w:rsid w:val="00926A14"/>
    <w:rsid w:val="00926B98"/>
    <w:rsid w:val="009271CC"/>
    <w:rsid w:val="00930246"/>
    <w:rsid w:val="00945DDC"/>
    <w:rsid w:val="009467CE"/>
    <w:rsid w:val="00953CF5"/>
    <w:rsid w:val="009557DC"/>
    <w:rsid w:val="009627C8"/>
    <w:rsid w:val="00963F93"/>
    <w:rsid w:val="00964EBD"/>
    <w:rsid w:val="009660C7"/>
    <w:rsid w:val="00966B2E"/>
    <w:rsid w:val="009701B5"/>
    <w:rsid w:val="00971695"/>
    <w:rsid w:val="00977D11"/>
    <w:rsid w:val="00980027"/>
    <w:rsid w:val="00980D28"/>
    <w:rsid w:val="00982E44"/>
    <w:rsid w:val="009830A1"/>
    <w:rsid w:val="009873F0"/>
    <w:rsid w:val="00991B33"/>
    <w:rsid w:val="009952AD"/>
    <w:rsid w:val="009A4F85"/>
    <w:rsid w:val="009B0540"/>
    <w:rsid w:val="009B1FFE"/>
    <w:rsid w:val="009B4727"/>
    <w:rsid w:val="009B7991"/>
    <w:rsid w:val="009B7FAB"/>
    <w:rsid w:val="009C59C6"/>
    <w:rsid w:val="009C796A"/>
    <w:rsid w:val="009D505F"/>
    <w:rsid w:val="009D5F76"/>
    <w:rsid w:val="009D633F"/>
    <w:rsid w:val="009D7859"/>
    <w:rsid w:val="009E266D"/>
    <w:rsid w:val="009E343E"/>
    <w:rsid w:val="009F49D0"/>
    <w:rsid w:val="009F7DF9"/>
    <w:rsid w:val="00A001AD"/>
    <w:rsid w:val="00A00236"/>
    <w:rsid w:val="00A0067B"/>
    <w:rsid w:val="00A0098E"/>
    <w:rsid w:val="00A0126D"/>
    <w:rsid w:val="00A01E11"/>
    <w:rsid w:val="00A06EDE"/>
    <w:rsid w:val="00A06F89"/>
    <w:rsid w:val="00A12E62"/>
    <w:rsid w:val="00A1327B"/>
    <w:rsid w:val="00A14AA4"/>
    <w:rsid w:val="00A14EC6"/>
    <w:rsid w:val="00A21A7D"/>
    <w:rsid w:val="00A21D51"/>
    <w:rsid w:val="00A27735"/>
    <w:rsid w:val="00A3012D"/>
    <w:rsid w:val="00A31384"/>
    <w:rsid w:val="00A32FBB"/>
    <w:rsid w:val="00A3458B"/>
    <w:rsid w:val="00A346C0"/>
    <w:rsid w:val="00A36DF7"/>
    <w:rsid w:val="00A37071"/>
    <w:rsid w:val="00A415F4"/>
    <w:rsid w:val="00A41DB8"/>
    <w:rsid w:val="00A53C39"/>
    <w:rsid w:val="00A609B7"/>
    <w:rsid w:val="00A62940"/>
    <w:rsid w:val="00A645E0"/>
    <w:rsid w:val="00A65096"/>
    <w:rsid w:val="00A7044C"/>
    <w:rsid w:val="00A704B4"/>
    <w:rsid w:val="00A71993"/>
    <w:rsid w:val="00A7592A"/>
    <w:rsid w:val="00A8135B"/>
    <w:rsid w:val="00A81FF2"/>
    <w:rsid w:val="00A82B42"/>
    <w:rsid w:val="00A82ED9"/>
    <w:rsid w:val="00A85746"/>
    <w:rsid w:val="00A870DC"/>
    <w:rsid w:val="00A87D15"/>
    <w:rsid w:val="00A9017A"/>
    <w:rsid w:val="00A92739"/>
    <w:rsid w:val="00A937A7"/>
    <w:rsid w:val="00A95A23"/>
    <w:rsid w:val="00A95ED1"/>
    <w:rsid w:val="00A96238"/>
    <w:rsid w:val="00AA133B"/>
    <w:rsid w:val="00AA6C3D"/>
    <w:rsid w:val="00AA79A4"/>
    <w:rsid w:val="00AB2617"/>
    <w:rsid w:val="00AB7CB1"/>
    <w:rsid w:val="00AC06FF"/>
    <w:rsid w:val="00AC288D"/>
    <w:rsid w:val="00AC3211"/>
    <w:rsid w:val="00AC5F00"/>
    <w:rsid w:val="00AC746B"/>
    <w:rsid w:val="00AD5F05"/>
    <w:rsid w:val="00AD6C0A"/>
    <w:rsid w:val="00AD71C2"/>
    <w:rsid w:val="00AE0E3E"/>
    <w:rsid w:val="00AE1C41"/>
    <w:rsid w:val="00AE34FD"/>
    <w:rsid w:val="00AE3855"/>
    <w:rsid w:val="00AE5896"/>
    <w:rsid w:val="00AE5E02"/>
    <w:rsid w:val="00AF040E"/>
    <w:rsid w:val="00AF1F53"/>
    <w:rsid w:val="00AF45B0"/>
    <w:rsid w:val="00AF6ED4"/>
    <w:rsid w:val="00B03E10"/>
    <w:rsid w:val="00B040CB"/>
    <w:rsid w:val="00B1247E"/>
    <w:rsid w:val="00B132F6"/>
    <w:rsid w:val="00B1470F"/>
    <w:rsid w:val="00B256FC"/>
    <w:rsid w:val="00B27FA5"/>
    <w:rsid w:val="00B31684"/>
    <w:rsid w:val="00B31B60"/>
    <w:rsid w:val="00B32FF2"/>
    <w:rsid w:val="00B35DB9"/>
    <w:rsid w:val="00B37F97"/>
    <w:rsid w:val="00B4448A"/>
    <w:rsid w:val="00B45290"/>
    <w:rsid w:val="00B47B38"/>
    <w:rsid w:val="00B63A31"/>
    <w:rsid w:val="00B66783"/>
    <w:rsid w:val="00B668F2"/>
    <w:rsid w:val="00B8362D"/>
    <w:rsid w:val="00B93354"/>
    <w:rsid w:val="00B96E95"/>
    <w:rsid w:val="00BA1591"/>
    <w:rsid w:val="00BA2CC3"/>
    <w:rsid w:val="00BA3D7C"/>
    <w:rsid w:val="00BA3E2B"/>
    <w:rsid w:val="00BA5C18"/>
    <w:rsid w:val="00BB2234"/>
    <w:rsid w:val="00BB532A"/>
    <w:rsid w:val="00BC0085"/>
    <w:rsid w:val="00BC1201"/>
    <w:rsid w:val="00BC1F39"/>
    <w:rsid w:val="00BC2044"/>
    <w:rsid w:val="00BC72A4"/>
    <w:rsid w:val="00BD1D15"/>
    <w:rsid w:val="00BD24DD"/>
    <w:rsid w:val="00BD3D89"/>
    <w:rsid w:val="00BE0B58"/>
    <w:rsid w:val="00BE1294"/>
    <w:rsid w:val="00BE202E"/>
    <w:rsid w:val="00BE2998"/>
    <w:rsid w:val="00BE4579"/>
    <w:rsid w:val="00BF4534"/>
    <w:rsid w:val="00BF662A"/>
    <w:rsid w:val="00BF7317"/>
    <w:rsid w:val="00C00B1E"/>
    <w:rsid w:val="00C00FD0"/>
    <w:rsid w:val="00C01CDC"/>
    <w:rsid w:val="00C032EB"/>
    <w:rsid w:val="00C034C8"/>
    <w:rsid w:val="00C03A01"/>
    <w:rsid w:val="00C045CC"/>
    <w:rsid w:val="00C04AD7"/>
    <w:rsid w:val="00C05C18"/>
    <w:rsid w:val="00C07A18"/>
    <w:rsid w:val="00C11B58"/>
    <w:rsid w:val="00C15697"/>
    <w:rsid w:val="00C16858"/>
    <w:rsid w:val="00C21B5F"/>
    <w:rsid w:val="00C37E5C"/>
    <w:rsid w:val="00C431C1"/>
    <w:rsid w:val="00C442C2"/>
    <w:rsid w:val="00C44C00"/>
    <w:rsid w:val="00C4621E"/>
    <w:rsid w:val="00C47B6A"/>
    <w:rsid w:val="00C52226"/>
    <w:rsid w:val="00C61AE3"/>
    <w:rsid w:val="00C63A58"/>
    <w:rsid w:val="00C64A5B"/>
    <w:rsid w:val="00C65FB5"/>
    <w:rsid w:val="00C67227"/>
    <w:rsid w:val="00C67345"/>
    <w:rsid w:val="00C707A4"/>
    <w:rsid w:val="00C7098C"/>
    <w:rsid w:val="00C772B6"/>
    <w:rsid w:val="00C81436"/>
    <w:rsid w:val="00C93F4C"/>
    <w:rsid w:val="00C9508D"/>
    <w:rsid w:val="00C95FA7"/>
    <w:rsid w:val="00CA1A58"/>
    <w:rsid w:val="00CA3BA1"/>
    <w:rsid w:val="00CA3DA2"/>
    <w:rsid w:val="00CA643D"/>
    <w:rsid w:val="00CB36EE"/>
    <w:rsid w:val="00CB3DDF"/>
    <w:rsid w:val="00CB466D"/>
    <w:rsid w:val="00CB55F2"/>
    <w:rsid w:val="00CB6A8C"/>
    <w:rsid w:val="00CB7F81"/>
    <w:rsid w:val="00CC27BE"/>
    <w:rsid w:val="00CC2BA7"/>
    <w:rsid w:val="00CC7CB3"/>
    <w:rsid w:val="00CD2212"/>
    <w:rsid w:val="00CD223D"/>
    <w:rsid w:val="00CD710C"/>
    <w:rsid w:val="00CE0FDF"/>
    <w:rsid w:val="00CF0149"/>
    <w:rsid w:val="00CF0A36"/>
    <w:rsid w:val="00CF1CAC"/>
    <w:rsid w:val="00CF2489"/>
    <w:rsid w:val="00CF2A33"/>
    <w:rsid w:val="00CF65A3"/>
    <w:rsid w:val="00D0114D"/>
    <w:rsid w:val="00D12B25"/>
    <w:rsid w:val="00D1592A"/>
    <w:rsid w:val="00D161D0"/>
    <w:rsid w:val="00D21662"/>
    <w:rsid w:val="00D2422B"/>
    <w:rsid w:val="00D27BB7"/>
    <w:rsid w:val="00D30A26"/>
    <w:rsid w:val="00D310D2"/>
    <w:rsid w:val="00D31E48"/>
    <w:rsid w:val="00D363F9"/>
    <w:rsid w:val="00D37690"/>
    <w:rsid w:val="00D41211"/>
    <w:rsid w:val="00D41C58"/>
    <w:rsid w:val="00D4706C"/>
    <w:rsid w:val="00D55607"/>
    <w:rsid w:val="00D636E1"/>
    <w:rsid w:val="00D63ECB"/>
    <w:rsid w:val="00D75939"/>
    <w:rsid w:val="00D77BDE"/>
    <w:rsid w:val="00D80E01"/>
    <w:rsid w:val="00D82480"/>
    <w:rsid w:val="00D86775"/>
    <w:rsid w:val="00D9053C"/>
    <w:rsid w:val="00D93F79"/>
    <w:rsid w:val="00D953DD"/>
    <w:rsid w:val="00D9581A"/>
    <w:rsid w:val="00DA00D2"/>
    <w:rsid w:val="00DA0A07"/>
    <w:rsid w:val="00DA0A6D"/>
    <w:rsid w:val="00DA158C"/>
    <w:rsid w:val="00DA22CA"/>
    <w:rsid w:val="00DA51A0"/>
    <w:rsid w:val="00DB2679"/>
    <w:rsid w:val="00DB6CFD"/>
    <w:rsid w:val="00DC338B"/>
    <w:rsid w:val="00DC6147"/>
    <w:rsid w:val="00DD3AE3"/>
    <w:rsid w:val="00DD50F8"/>
    <w:rsid w:val="00DD51C8"/>
    <w:rsid w:val="00DD684D"/>
    <w:rsid w:val="00DE09B1"/>
    <w:rsid w:val="00DE0D5A"/>
    <w:rsid w:val="00DE10D5"/>
    <w:rsid w:val="00DE41B4"/>
    <w:rsid w:val="00DE6B4D"/>
    <w:rsid w:val="00DF1C31"/>
    <w:rsid w:val="00DF2774"/>
    <w:rsid w:val="00DF2863"/>
    <w:rsid w:val="00DF33EE"/>
    <w:rsid w:val="00DF47AF"/>
    <w:rsid w:val="00DF5438"/>
    <w:rsid w:val="00DF65D4"/>
    <w:rsid w:val="00DF6A65"/>
    <w:rsid w:val="00DF7E18"/>
    <w:rsid w:val="00E02955"/>
    <w:rsid w:val="00E07E48"/>
    <w:rsid w:val="00E1487C"/>
    <w:rsid w:val="00E168DE"/>
    <w:rsid w:val="00E27442"/>
    <w:rsid w:val="00E34543"/>
    <w:rsid w:val="00E37A82"/>
    <w:rsid w:val="00E45D04"/>
    <w:rsid w:val="00E51052"/>
    <w:rsid w:val="00E61528"/>
    <w:rsid w:val="00E648EE"/>
    <w:rsid w:val="00E70518"/>
    <w:rsid w:val="00E70B50"/>
    <w:rsid w:val="00E71A6C"/>
    <w:rsid w:val="00E72597"/>
    <w:rsid w:val="00E74B20"/>
    <w:rsid w:val="00E76424"/>
    <w:rsid w:val="00E82757"/>
    <w:rsid w:val="00E82C73"/>
    <w:rsid w:val="00E84CB6"/>
    <w:rsid w:val="00E857F7"/>
    <w:rsid w:val="00E92071"/>
    <w:rsid w:val="00E93075"/>
    <w:rsid w:val="00E93090"/>
    <w:rsid w:val="00E96605"/>
    <w:rsid w:val="00EA06E2"/>
    <w:rsid w:val="00EA214F"/>
    <w:rsid w:val="00EB0CF8"/>
    <w:rsid w:val="00EB2B22"/>
    <w:rsid w:val="00EB4C50"/>
    <w:rsid w:val="00EB549D"/>
    <w:rsid w:val="00EC5430"/>
    <w:rsid w:val="00EC72D5"/>
    <w:rsid w:val="00EC7D0F"/>
    <w:rsid w:val="00ED6167"/>
    <w:rsid w:val="00ED6C0A"/>
    <w:rsid w:val="00EE1038"/>
    <w:rsid w:val="00EF0B66"/>
    <w:rsid w:val="00EF22BA"/>
    <w:rsid w:val="00EF4362"/>
    <w:rsid w:val="00EF55F2"/>
    <w:rsid w:val="00F042E3"/>
    <w:rsid w:val="00F05D9E"/>
    <w:rsid w:val="00F05FCD"/>
    <w:rsid w:val="00F07F16"/>
    <w:rsid w:val="00F1054F"/>
    <w:rsid w:val="00F14997"/>
    <w:rsid w:val="00F213BB"/>
    <w:rsid w:val="00F224A9"/>
    <w:rsid w:val="00F22D37"/>
    <w:rsid w:val="00F2750E"/>
    <w:rsid w:val="00F33815"/>
    <w:rsid w:val="00F33DF6"/>
    <w:rsid w:val="00F446C0"/>
    <w:rsid w:val="00F460FF"/>
    <w:rsid w:val="00F47E8C"/>
    <w:rsid w:val="00F50A8E"/>
    <w:rsid w:val="00F54AD3"/>
    <w:rsid w:val="00F55C3A"/>
    <w:rsid w:val="00F56AD3"/>
    <w:rsid w:val="00F57592"/>
    <w:rsid w:val="00F60AEB"/>
    <w:rsid w:val="00F61789"/>
    <w:rsid w:val="00F62A7C"/>
    <w:rsid w:val="00F640F8"/>
    <w:rsid w:val="00F65FE3"/>
    <w:rsid w:val="00F6665A"/>
    <w:rsid w:val="00F74360"/>
    <w:rsid w:val="00F7472C"/>
    <w:rsid w:val="00F7756B"/>
    <w:rsid w:val="00F82B0B"/>
    <w:rsid w:val="00F845A2"/>
    <w:rsid w:val="00F8606D"/>
    <w:rsid w:val="00F86798"/>
    <w:rsid w:val="00F9159E"/>
    <w:rsid w:val="00F93A4B"/>
    <w:rsid w:val="00F94042"/>
    <w:rsid w:val="00FA0EB2"/>
    <w:rsid w:val="00FA30B5"/>
    <w:rsid w:val="00FA4B3D"/>
    <w:rsid w:val="00FA6B64"/>
    <w:rsid w:val="00FB2204"/>
    <w:rsid w:val="00FB37D8"/>
    <w:rsid w:val="00FB389D"/>
    <w:rsid w:val="00FB539D"/>
    <w:rsid w:val="00FB7F41"/>
    <w:rsid w:val="00FC3688"/>
    <w:rsid w:val="00FC375E"/>
    <w:rsid w:val="00FC3E47"/>
    <w:rsid w:val="00FD2763"/>
    <w:rsid w:val="00FD2B22"/>
    <w:rsid w:val="00FD3ABB"/>
    <w:rsid w:val="00FE3E2C"/>
    <w:rsid w:val="00FE633A"/>
    <w:rsid w:val="00FF34EE"/>
    <w:rsid w:val="00FF628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820E"/>
  <w15:chartTrackingRefBased/>
  <w15:docId w15:val="{72D44614-4313-4A14-ACCF-67FDFFEF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semiHidden="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uiPriority="0"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8D105E"/>
    <w:pPr>
      <w:spacing w:after="0"/>
      <w:jc w:val="both"/>
    </w:pPr>
    <w:rPr>
      <w:rFonts w:cs="Times New Roman"/>
      <w:sz w:val="22"/>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unhideWhenUsed/>
    <w:qFormat/>
    <w:pPr>
      <w:keepNext/>
      <w:spacing w:after="240"/>
      <w:ind w:left="720"/>
      <w:jc w:val="center"/>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C00B1E"/>
    <w:pPr>
      <w:spacing w:after="240"/>
    </w:pPr>
    <w:rPr>
      <w:rFonts w:eastAsia="Times New Roman"/>
    </w:rPr>
  </w:style>
  <w:style w:type="character" w:styleId="BodyTextChar" w:customStyle="1">
    <w:name w:val="Body Text Char"/>
    <w:basedOn w:val="DefaultParagraphFont"/>
    <w:link w:val="BodyText"/>
    <w:rsid w:val="00C00B1E"/>
    <w:rPr>
      <w:rFonts w:eastAsia="Times New Roman" w:cs="Times New Roman"/>
      <w:sz w:val="22"/>
    </w:rPr>
  </w:style>
  <w:style w:type="character" w:styleId="Heading1Char" w:customStyle="1">
    <w:name w:val="Heading 1 Char"/>
    <w:basedOn w:val="DefaultParagraphFont"/>
    <w:link w:val="Heading1"/>
    <w:uiPriority w:val="9"/>
    <w:rPr>
      <w:rFonts w:ascii="Times New Roman" w:hAnsi="Times New Roman" w:eastAsiaTheme="majorEastAsia" w:cstheme="majorBidi"/>
      <w:b/>
      <w:bCs/>
      <w:caps/>
      <w:sz w:val="24"/>
      <w:szCs w:val="28"/>
    </w:rPr>
  </w:style>
  <w:style w:type="character" w:styleId="Heading2Char" w:customStyle="1">
    <w:name w:val="Heading 2 Char"/>
    <w:basedOn w:val="DefaultParagraphFont"/>
    <w:link w:val="Heading2"/>
    <w:uiPriority w:val="9"/>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uiPriority w:val="9"/>
    <w:rPr>
      <w:rFonts w:ascii="Times New Roman" w:hAnsi="Times New Roman" w:eastAsiaTheme="majorEastAsia" w:cstheme="majorBidi"/>
      <w:b/>
      <w:bCs/>
      <w:i/>
      <w:sz w:val="24"/>
    </w:rPr>
  </w:style>
  <w:style w:type="character" w:styleId="Heading4Char" w:customStyle="1">
    <w:name w:val="Heading 4 Char"/>
    <w:basedOn w:val="DefaultParagraphFont"/>
    <w:link w:val="Heading4"/>
    <w:uiPriority w:val="9"/>
    <w:rPr>
      <w:rFonts w:ascii="Times New Roman" w:hAnsi="Times New Roman" w:eastAsiaTheme="majorEastAsia" w:cstheme="majorBidi"/>
      <w:bCs/>
      <w:i/>
      <w:iCs/>
      <w:sz w:val="24"/>
    </w:rPr>
  </w:style>
  <w:style w:type="character" w:styleId="Heading5Char" w:customStyle="1">
    <w:name w:val="Heading 5 Char"/>
    <w:basedOn w:val="DefaultParagraphFont"/>
    <w:link w:val="Heading5"/>
    <w:uiPriority w:val="9"/>
    <w:rPr>
      <w:rFonts w:eastAsiaTheme="majorEastAsia" w:cstheme="majorBidi"/>
      <w:u w:val="single"/>
    </w:rPr>
  </w:style>
  <w:style w:type="character" w:styleId="Heading6Char" w:customStyle="1">
    <w:name w:val="Heading 6 Char"/>
    <w:basedOn w:val="DefaultParagraphFont"/>
    <w:link w:val="Heading6"/>
    <w:uiPriority w:val="9"/>
    <w:semiHidden/>
    <w:rPr>
      <w:rFonts w:ascii="Times New Roman" w:hAnsi="Times New Roman" w:eastAsiaTheme="majorEastAsia" w:cstheme="majorBidi"/>
      <w:b/>
      <w:i/>
      <w:iCs/>
      <w:sz w:val="24"/>
    </w:rPr>
  </w:style>
  <w:style w:type="character" w:styleId="Heading7Char" w:customStyle="1">
    <w:name w:val="Heading 7 Char"/>
    <w:basedOn w:val="DefaultParagraphFont"/>
    <w:link w:val="Heading7"/>
    <w:uiPriority w:val="9"/>
    <w:semiHidden/>
    <w:rPr>
      <w:rFonts w:ascii="Times New Roman" w:hAnsi="Times New Roman" w:eastAsiaTheme="majorEastAsia" w:cstheme="majorBidi"/>
      <w:iCs/>
      <w:sz w:val="24"/>
      <w:u w:val="single"/>
    </w:rPr>
  </w:style>
  <w:style w:type="character" w:styleId="Heading8Char" w:customStyle="1">
    <w:name w:val="Heading 8 Char"/>
    <w:basedOn w:val="DefaultParagraphFont"/>
    <w:link w:val="Heading8"/>
    <w:uiPriority w:val="9"/>
    <w:semiHidden/>
    <w:rPr>
      <w:rFonts w:ascii="Times New Roman" w:hAnsi="Times New Roman" w:eastAsiaTheme="majorEastAsia" w:cstheme="majorBidi"/>
      <w:i/>
      <w:sz w:val="24"/>
      <w:szCs w:val="20"/>
    </w:rPr>
  </w:style>
  <w:style w:type="character" w:styleId="Heading9Char" w:customStyle="1">
    <w:name w:val="Heading 9 Char"/>
    <w:basedOn w:val="DefaultParagraphFont"/>
    <w:link w:val="Heading9"/>
    <w:uiPriority w:val="9"/>
    <w:semiHidden/>
    <w:rPr>
      <w:rFonts w:ascii="Times New Roman" w:hAnsi="Times New Roman" w:eastAsiaTheme="majorEastAsia"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styleId="BodyTextFirstIndentChar" w:customStyle="1">
    <w:name w:val="Body Text First Indent Char"/>
    <w:basedOn w:val="BodyTextChar"/>
    <w:link w:val="BodyTextFirstIndent"/>
    <w:rPr>
      <w:rFonts w:ascii="Times New Roman" w:hAnsi="Times New Roman" w:eastAsia="Times New Roman" w:cs="Times New Roman"/>
      <w:sz w:val="24"/>
      <w:szCs w:val="24"/>
    </w:rPr>
  </w:style>
  <w:style w:type="paragraph" w:styleId="BodyTextIndent">
    <w:name w:val="Body Text Indent"/>
    <w:basedOn w:val="Normal"/>
    <w:link w:val="BodyTextIndentChar"/>
    <w:unhideWhenUsed/>
    <w:pPr>
      <w:ind w:left="720"/>
    </w:pPr>
  </w:style>
  <w:style w:type="character" w:styleId="BodyTextIndentChar" w:customStyle="1">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styleId="BodyTextFirstIndent2Char" w:customStyle="1">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styleId="Centered" w:customStyle="1">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vSpace="187" w:hSpace="187" w:wrap="around" w:hAnchor="page" w:vAnchor="page" w:x="6481" w:y="3068" w:hRule="exact"/>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styleId="DeliveryPhrase" w:customStyle="1">
    <w:name w:val="Delivery Phrase"/>
    <w:basedOn w:val="Normal"/>
    <w:next w:val="BodyText"/>
    <w:uiPriority w:val="3"/>
    <w:qFormat/>
    <w:pPr>
      <w:spacing w:before="240" w:after="240"/>
    </w:pPr>
    <w:rPr>
      <w:b/>
      <w:caps/>
    </w:rPr>
  </w:style>
  <w:style w:type="character" w:styleId="FooterChar" w:customStyle="1">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semiHidden/>
    <w:unhideWhenUsed/>
    <w:rsid w:val="008D105E"/>
    <w:pPr>
      <w:spacing w:after="60"/>
      <w:ind w:left="288" w:hanging="288"/>
    </w:pPr>
    <w:rPr>
      <w:sz w:val="18"/>
      <w:szCs w:val="20"/>
    </w:rPr>
  </w:style>
  <w:style w:type="character" w:styleId="FootnoteTextChar" w:customStyle="1">
    <w:name w:val="Footnote Text Char"/>
    <w:basedOn w:val="DefaultParagraphFont"/>
    <w:link w:val="FootnoteText"/>
    <w:uiPriority w:val="99"/>
    <w:semiHidden/>
    <w:rsid w:val="008D105E"/>
    <w:rPr>
      <w:rFonts w:cs="Times New Roman"/>
      <w:sz w:val="18"/>
      <w:szCs w:val="20"/>
    </w:rPr>
  </w:style>
  <w:style w:type="character" w:styleId="FootnoteReference">
    <w:name w:val="footnote reference"/>
    <w:basedOn w:val="DefaultParagraphFont"/>
    <w:uiPriority w:val="99"/>
    <w:semiHidden/>
    <w:unhideWhenUsed/>
    <w:rsid w:val="008F6B02"/>
    <w:rPr>
      <w:vertAlign w:val="superscript"/>
    </w:rPr>
  </w:style>
  <w:style w:type="paragraph" w:styleId="HeaderNumbers" w:customStyle="1">
    <w:name w:val="HeaderNumbers"/>
    <w:basedOn w:val="Normal"/>
    <w:link w:val="HeaderNumbersChar"/>
    <w:uiPriority w:val="10"/>
    <w:semiHidden/>
    <w:unhideWhenUsed/>
    <w:qFormat/>
    <w:pPr>
      <w:spacing w:after="720" w:line="480" w:lineRule="exact"/>
      <w:ind w:right="144"/>
    </w:pPr>
  </w:style>
  <w:style w:type="character" w:styleId="HeaderNumbersChar" w:customStyle="1">
    <w:name w:val="HeaderNumbers Char"/>
    <w:basedOn w:val="DefaultParagraphFont"/>
    <w:link w:val="HeaderNumbers"/>
    <w:uiPriority w:val="10"/>
    <w:semiHidden/>
    <w:rPr>
      <w:rFonts w:ascii="Times New Roman" w:hAnsi="Times New Roman"/>
      <w:sz w:val="24"/>
    </w:rPr>
  </w:style>
  <w:style w:type="paragraph" w:styleId="Quote">
    <w:name w:val="Quote"/>
    <w:basedOn w:val="Normal"/>
    <w:next w:val="BodyText"/>
    <w:link w:val="QuoteChar"/>
    <w:uiPriority w:val="13"/>
    <w:qFormat/>
    <w:pPr>
      <w:spacing w:after="240"/>
      <w:ind w:left="720" w:right="720"/>
    </w:pPr>
    <w:rPr>
      <w:iCs/>
    </w:rPr>
  </w:style>
  <w:style w:type="character" w:styleId="QuoteChar" w:customStyle="1">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cs="Times New Roman"/>
      <w:sz w:val="22"/>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rPr>
      <w:rFonts w:eastAsia="Times New Roman"/>
    </w:rPr>
  </w:style>
  <w:style w:type="character" w:styleId="BodyText2Char" w:customStyle="1">
    <w:name w:val="Body Text 2 Char"/>
    <w:basedOn w:val="DefaultParagraphFont"/>
    <w:link w:val="BodyText2"/>
    <w:semiHidden/>
    <w:rPr>
      <w:rFonts w:ascii="Times New Roman" w:hAnsi="Times New Roman" w:eastAsia="Times New Roman" w:cs="Times New Roman"/>
      <w:sz w:val="24"/>
      <w:szCs w:val="24"/>
    </w:rPr>
  </w:style>
  <w:style w:type="paragraph" w:styleId="BodyText3">
    <w:name w:val="Body Text 3"/>
    <w:basedOn w:val="Normal"/>
    <w:link w:val="BodyText3Char"/>
    <w:semiHidden/>
    <w:pPr>
      <w:spacing w:after="240"/>
    </w:pPr>
    <w:rPr>
      <w:rFonts w:eastAsia="Times New Roman"/>
      <w:sz w:val="16"/>
      <w:szCs w:val="16"/>
    </w:rPr>
  </w:style>
  <w:style w:type="character" w:styleId="BodyText3Char" w:customStyle="1">
    <w:name w:val="Body Text 3 Char"/>
    <w:basedOn w:val="DefaultParagraphFont"/>
    <w:link w:val="BodyText3"/>
    <w:semiHidden/>
    <w:rPr>
      <w:rFonts w:ascii="Times New Roman" w:hAnsi="Times New Roman" w:eastAsia="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rPr>
  </w:style>
  <w:style w:type="character" w:styleId="BodyTextIndent2Char" w:customStyle="1">
    <w:name w:val="Body Text Indent 2 Char"/>
    <w:basedOn w:val="DefaultParagraphFont"/>
    <w:link w:val="BodyTextIndent2"/>
    <w:semiHidden/>
    <w:rPr>
      <w:rFonts w:ascii="Times New Roman" w:hAnsi="Times New Roman" w:eastAsia="Times New Roman" w:cs="Times New Roman"/>
      <w:sz w:val="24"/>
      <w:szCs w:val="24"/>
    </w:rPr>
  </w:style>
  <w:style w:type="paragraph" w:styleId="BodyTextIndent3">
    <w:name w:val="Body Text Indent 3"/>
    <w:basedOn w:val="Normal"/>
    <w:link w:val="BodyTextIndent3Char"/>
    <w:semiHidden/>
    <w:pPr>
      <w:spacing w:after="240"/>
      <w:ind w:left="720"/>
    </w:pPr>
    <w:rPr>
      <w:rFonts w:eastAsia="Times New Roman"/>
      <w:sz w:val="16"/>
      <w:szCs w:val="16"/>
    </w:rPr>
  </w:style>
  <w:style w:type="character" w:styleId="BodyTextIndent3Char" w:customStyle="1">
    <w:name w:val="Body Text Indent 3 Char"/>
    <w:basedOn w:val="DefaultParagraphFont"/>
    <w:link w:val="BodyTextIndent3"/>
    <w:semiHidden/>
    <w:rPr>
      <w:rFonts w:ascii="Times New Roman" w:hAnsi="Times New Roman" w:eastAsia="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RecitalL1" w:customStyle="1">
    <w:name w:val="Recital_L1"/>
    <w:basedOn w:val="Normal"/>
    <w:link w:val="RecitalL1Char"/>
    <w:pPr>
      <w:numPr>
        <w:numId w:val="19"/>
      </w:numPr>
      <w:spacing w:after="240"/>
      <w:outlineLvl w:val="0"/>
    </w:pPr>
    <w:rPr>
      <w:rFonts w:eastAsia="Times New Roman"/>
      <w:szCs w:val="20"/>
    </w:rPr>
  </w:style>
  <w:style w:type="character" w:styleId="RecitalL1Char" w:customStyle="1">
    <w:name w:val="Recital_L1 Char"/>
    <w:basedOn w:val="BodyTextChar"/>
    <w:link w:val="RecitalL1"/>
    <w:rPr>
      <w:rFonts w:ascii="Times New Roman" w:hAnsi="Times New Roman" w:eastAsia="Times New Roman" w:cs="Times New Roman"/>
      <w:sz w:val="24"/>
      <w:szCs w:val="20"/>
    </w:rPr>
  </w:style>
  <w:style w:type="paragraph" w:styleId="RecitalL2" w:customStyle="1">
    <w:name w:val="Recital_L2"/>
    <w:basedOn w:val="RecitalL1"/>
    <w:link w:val="RecitalL2Char"/>
    <w:pPr>
      <w:numPr>
        <w:ilvl w:val="1"/>
      </w:numPr>
      <w:outlineLvl w:val="1"/>
    </w:pPr>
  </w:style>
  <w:style w:type="character" w:styleId="RecitalL2Char" w:customStyle="1">
    <w:name w:val="Recital_L2 Char"/>
    <w:basedOn w:val="BodyTextChar"/>
    <w:link w:val="RecitalL2"/>
    <w:rPr>
      <w:rFonts w:ascii="Times New Roman" w:hAnsi="Times New Roman" w:eastAsia="Times New Roman" w:cs="Times New Roman"/>
      <w:sz w:val="24"/>
      <w:szCs w:val="20"/>
    </w:rPr>
  </w:style>
  <w:style w:type="paragraph" w:styleId="RecitalCont1" w:customStyle="1">
    <w:name w:val="Recital Cont 1"/>
    <w:basedOn w:val="Normal"/>
    <w:link w:val="RecitalCont1Char"/>
    <w:pPr>
      <w:spacing w:after="240"/>
      <w:ind w:left="720"/>
    </w:pPr>
    <w:rPr>
      <w:rFonts w:eastAsia="Times New Roman"/>
      <w:szCs w:val="20"/>
    </w:rPr>
  </w:style>
  <w:style w:type="character" w:styleId="RecitalCont1Char" w:customStyle="1">
    <w:name w:val="Recital Cont 1 Char"/>
    <w:basedOn w:val="BodyTextChar"/>
    <w:link w:val="RecitalCont1"/>
    <w:rPr>
      <w:rFonts w:ascii="Times New Roman" w:hAnsi="Times New Roman" w:eastAsia="Times New Roman" w:cs="Times New Roman"/>
      <w:sz w:val="22"/>
      <w:szCs w:val="20"/>
    </w:rPr>
  </w:style>
  <w:style w:type="paragraph" w:styleId="RecitalCont2" w:customStyle="1">
    <w:name w:val="Recital Cont 2"/>
    <w:basedOn w:val="RecitalCont1"/>
    <w:link w:val="RecitalCont2Char"/>
    <w:pPr>
      <w:ind w:left="1440"/>
    </w:pPr>
  </w:style>
  <w:style w:type="character" w:styleId="RecitalCont2Char" w:customStyle="1">
    <w:name w:val="Recital Cont 2 Char"/>
    <w:basedOn w:val="BodyTextChar"/>
    <w:link w:val="RecitalCont2"/>
    <w:rPr>
      <w:rFonts w:ascii="Times New Roman" w:hAnsi="Times New Roman" w:eastAsia="Times New Roman" w:cs="Times New Roman"/>
      <w:sz w:val="22"/>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StandardCont1" w:customStyle="1">
    <w:name w:val="Standard Cont 1"/>
    <w:basedOn w:val="Normal"/>
    <w:link w:val="StandardCont1Char"/>
    <w:pPr>
      <w:spacing w:after="240"/>
      <w:ind w:left="720"/>
    </w:pPr>
    <w:rPr>
      <w:rFonts w:eastAsia="Times New Roman"/>
      <w:szCs w:val="20"/>
    </w:rPr>
  </w:style>
  <w:style w:type="character" w:styleId="StandardCont1Char" w:customStyle="1">
    <w:name w:val="Standard Cont 1 Char"/>
    <w:basedOn w:val="BodyTextChar"/>
    <w:link w:val="StandardCont1"/>
    <w:rPr>
      <w:rFonts w:ascii="Times New Roman" w:hAnsi="Times New Roman" w:eastAsia="Times New Roman" w:cs="Times New Roman"/>
      <w:sz w:val="24"/>
      <w:szCs w:val="20"/>
    </w:rPr>
  </w:style>
  <w:style w:type="paragraph" w:styleId="StandardCont2" w:customStyle="1">
    <w:name w:val="Standard Cont 2"/>
    <w:basedOn w:val="StandardCont1"/>
    <w:link w:val="StandardCont2Char"/>
    <w:pPr>
      <w:ind w:left="1440"/>
    </w:pPr>
  </w:style>
  <w:style w:type="character" w:styleId="StandardCont2Char" w:customStyle="1">
    <w:name w:val="Standard Cont 2 Char"/>
    <w:basedOn w:val="BodyTextChar"/>
    <w:link w:val="StandardCont2"/>
    <w:rPr>
      <w:rFonts w:ascii="Times New Roman" w:hAnsi="Times New Roman" w:eastAsia="Times New Roman" w:cs="Times New Roman"/>
      <w:sz w:val="24"/>
      <w:szCs w:val="20"/>
    </w:rPr>
  </w:style>
  <w:style w:type="paragraph" w:styleId="StandardCont3" w:customStyle="1">
    <w:name w:val="Standard Cont 3"/>
    <w:basedOn w:val="StandardCont2"/>
    <w:link w:val="StandardCont3Char"/>
    <w:pPr>
      <w:ind w:left="2160"/>
    </w:pPr>
  </w:style>
  <w:style w:type="character" w:styleId="StandardCont3Char" w:customStyle="1">
    <w:name w:val="Standard Cont 3 Char"/>
    <w:basedOn w:val="BodyTextChar"/>
    <w:link w:val="StandardCont3"/>
    <w:rPr>
      <w:rFonts w:ascii="Times New Roman" w:hAnsi="Times New Roman" w:eastAsia="Times New Roman" w:cs="Times New Roman"/>
      <w:sz w:val="24"/>
      <w:szCs w:val="20"/>
    </w:rPr>
  </w:style>
  <w:style w:type="paragraph" w:styleId="StandardCont4" w:customStyle="1">
    <w:name w:val="Standard Cont 4"/>
    <w:basedOn w:val="StandardCont3"/>
    <w:link w:val="StandardCont4Char"/>
    <w:pPr>
      <w:ind w:left="2880"/>
    </w:pPr>
  </w:style>
  <w:style w:type="character" w:styleId="StandardCont4Char" w:customStyle="1">
    <w:name w:val="Standard Cont 4 Char"/>
    <w:basedOn w:val="BodyTextChar"/>
    <w:link w:val="StandardCont4"/>
    <w:rPr>
      <w:rFonts w:ascii="Times New Roman" w:hAnsi="Times New Roman" w:eastAsia="Times New Roman" w:cs="Times New Roman"/>
      <w:sz w:val="24"/>
      <w:szCs w:val="20"/>
    </w:rPr>
  </w:style>
  <w:style w:type="paragraph" w:styleId="StandardCont5" w:customStyle="1">
    <w:name w:val="Standard Cont 5"/>
    <w:basedOn w:val="StandardCont4"/>
    <w:link w:val="StandardCont5Char"/>
    <w:pPr>
      <w:ind w:left="3600"/>
    </w:pPr>
  </w:style>
  <w:style w:type="character" w:styleId="StandardCont5Char" w:customStyle="1">
    <w:name w:val="Standard Cont 5 Char"/>
    <w:basedOn w:val="BodyTextChar"/>
    <w:link w:val="StandardCont5"/>
    <w:rPr>
      <w:rFonts w:ascii="Times New Roman" w:hAnsi="Times New Roman" w:eastAsia="Times New Roman" w:cs="Times New Roman"/>
      <w:sz w:val="24"/>
      <w:szCs w:val="20"/>
    </w:rPr>
  </w:style>
  <w:style w:type="paragraph" w:styleId="StandardCont6" w:customStyle="1">
    <w:name w:val="Standard Cont 6"/>
    <w:basedOn w:val="StandardCont5"/>
    <w:link w:val="StandardCont6Char"/>
    <w:pPr>
      <w:ind w:left="4320"/>
    </w:pPr>
  </w:style>
  <w:style w:type="character" w:styleId="StandardCont6Char" w:customStyle="1">
    <w:name w:val="Standard Cont 6 Char"/>
    <w:basedOn w:val="BodyTextChar"/>
    <w:link w:val="StandardCont6"/>
    <w:rPr>
      <w:rFonts w:ascii="Times New Roman" w:hAnsi="Times New Roman" w:eastAsia="Times New Roman" w:cs="Times New Roman"/>
      <w:sz w:val="24"/>
      <w:szCs w:val="20"/>
    </w:rPr>
  </w:style>
  <w:style w:type="paragraph" w:styleId="StandardCont7" w:customStyle="1">
    <w:name w:val="Standard Cont 7"/>
    <w:basedOn w:val="StandardCont6"/>
    <w:link w:val="StandardCont7Char"/>
    <w:pPr>
      <w:ind w:left="5040"/>
    </w:pPr>
  </w:style>
  <w:style w:type="character" w:styleId="StandardCont7Char" w:customStyle="1">
    <w:name w:val="Standard Cont 7 Char"/>
    <w:basedOn w:val="BodyTextChar"/>
    <w:link w:val="StandardCont7"/>
    <w:rPr>
      <w:rFonts w:ascii="Times New Roman" w:hAnsi="Times New Roman" w:eastAsia="Times New Roman" w:cs="Times New Roman"/>
      <w:sz w:val="24"/>
      <w:szCs w:val="20"/>
    </w:rPr>
  </w:style>
  <w:style w:type="paragraph" w:styleId="StandardCont8" w:customStyle="1">
    <w:name w:val="Standard Cont 8"/>
    <w:basedOn w:val="StandardCont7"/>
    <w:link w:val="StandardCont8Char"/>
    <w:pPr>
      <w:ind w:left="5760"/>
    </w:pPr>
  </w:style>
  <w:style w:type="character" w:styleId="StandardCont8Char" w:customStyle="1">
    <w:name w:val="Standard Cont 8 Char"/>
    <w:basedOn w:val="BodyTextChar"/>
    <w:link w:val="StandardCont8"/>
    <w:rPr>
      <w:rFonts w:ascii="Times New Roman" w:hAnsi="Times New Roman" w:eastAsia="Times New Roman" w:cs="Times New Roman"/>
      <w:sz w:val="24"/>
      <w:szCs w:val="20"/>
    </w:rPr>
  </w:style>
  <w:style w:type="paragraph" w:styleId="StandardCont9" w:customStyle="1">
    <w:name w:val="Standard Cont 9"/>
    <w:basedOn w:val="StandardCont8"/>
    <w:link w:val="StandardCont9Char"/>
    <w:pPr>
      <w:ind w:left="6480"/>
    </w:pPr>
  </w:style>
  <w:style w:type="character" w:styleId="StandardCont9Char" w:customStyle="1">
    <w:name w:val="Standard Cont 9 Char"/>
    <w:basedOn w:val="BodyTextChar"/>
    <w:link w:val="StandardCont9"/>
    <w:rPr>
      <w:rFonts w:ascii="Times New Roman" w:hAnsi="Times New Roman" w:eastAsia="Times New Roman" w:cs="Times New Roman"/>
      <w:sz w:val="24"/>
      <w:szCs w:val="20"/>
    </w:rPr>
  </w:style>
  <w:style w:type="paragraph" w:styleId="StandardL1" w:customStyle="1">
    <w:name w:val="Standard_L1"/>
    <w:basedOn w:val="Normal"/>
    <w:link w:val="StandardL1Char"/>
    <w:rsid w:val="00836E02"/>
    <w:pPr>
      <w:keepNext/>
      <w:spacing w:after="240"/>
      <w:jc w:val="center"/>
      <w:outlineLvl w:val="0"/>
    </w:pPr>
    <w:rPr>
      <w:rFonts w:ascii="Times New Roman Bold" w:hAnsi="Times New Roman Bold" w:eastAsia="Times New Roman"/>
      <w:b/>
      <w:caps/>
      <w:szCs w:val="20"/>
    </w:rPr>
  </w:style>
  <w:style w:type="character" w:styleId="StandardL1Char" w:customStyle="1">
    <w:name w:val="Standard_L1 Char"/>
    <w:basedOn w:val="DefaultParagraphFont"/>
    <w:link w:val="StandardL1"/>
    <w:rsid w:val="00836E02"/>
    <w:rPr>
      <w:rFonts w:ascii="Times New Roman Bold" w:hAnsi="Times New Roman Bold" w:eastAsia="Times New Roman" w:cs="Times New Roman"/>
      <w:b/>
      <w:caps/>
      <w:sz w:val="22"/>
      <w:szCs w:val="20"/>
    </w:rPr>
  </w:style>
  <w:style w:type="paragraph" w:styleId="StandardL2" w:customStyle="1">
    <w:name w:val="Standard_L2"/>
    <w:basedOn w:val="StandardL1"/>
    <w:link w:val="StandardL2Char"/>
    <w:rsid w:val="00E71A6C"/>
    <w:pPr>
      <w:numPr>
        <w:ilvl w:val="1"/>
      </w:numPr>
      <w:jc w:val="left"/>
      <w:outlineLvl w:val="1"/>
    </w:pPr>
    <w:rPr>
      <w:rFonts w:eastAsiaTheme="minorHAnsi"/>
      <w:caps w:val="0"/>
    </w:rPr>
  </w:style>
  <w:style w:type="character" w:styleId="StandardL2Char" w:customStyle="1">
    <w:name w:val="Standard_L2 Char"/>
    <w:basedOn w:val="DefaultParagraphFont"/>
    <w:link w:val="StandardL2"/>
    <w:rsid w:val="00E71A6C"/>
    <w:rPr>
      <w:rFonts w:ascii="Times New Roman Bold" w:hAnsi="Times New Roman Bold" w:cs="Times New Roman"/>
      <w:b/>
      <w:sz w:val="22"/>
      <w:szCs w:val="20"/>
    </w:rPr>
  </w:style>
  <w:style w:type="paragraph" w:styleId="StandardL3" w:customStyle="1">
    <w:name w:val="Standard_L3"/>
    <w:basedOn w:val="StandardL2"/>
    <w:link w:val="StandardL3Char"/>
    <w:pPr>
      <w:numPr>
        <w:ilvl w:val="2"/>
      </w:numPr>
      <w:outlineLvl w:val="2"/>
    </w:pPr>
  </w:style>
  <w:style w:type="character" w:styleId="StandardL3Char" w:customStyle="1">
    <w:name w:val="Standard_L3 Char"/>
    <w:basedOn w:val="DefaultParagraphFont"/>
    <w:link w:val="StandardL3"/>
    <w:rPr>
      <w:rFonts w:eastAsia="Times New Roman" w:cs="Times New Roman"/>
      <w:szCs w:val="20"/>
    </w:rPr>
  </w:style>
  <w:style w:type="paragraph" w:styleId="StandardL4" w:customStyle="1">
    <w:name w:val="Standard_L4"/>
    <w:basedOn w:val="StandardL3"/>
    <w:link w:val="StandardL4Char"/>
    <w:pPr>
      <w:numPr>
        <w:ilvl w:val="3"/>
      </w:numPr>
      <w:outlineLvl w:val="3"/>
    </w:pPr>
  </w:style>
  <w:style w:type="character" w:styleId="StandardL4Char" w:customStyle="1">
    <w:name w:val="Standard_L4 Char"/>
    <w:basedOn w:val="DefaultParagraphFont"/>
    <w:link w:val="StandardL4"/>
    <w:rPr>
      <w:rFonts w:eastAsia="Times New Roman" w:cs="Times New Roman"/>
      <w:szCs w:val="20"/>
    </w:rPr>
  </w:style>
  <w:style w:type="paragraph" w:styleId="StandardL5" w:customStyle="1">
    <w:name w:val="Standard_L5"/>
    <w:basedOn w:val="StandardL4"/>
    <w:link w:val="StandardL5Char"/>
    <w:pPr>
      <w:numPr>
        <w:ilvl w:val="4"/>
      </w:numPr>
      <w:outlineLvl w:val="4"/>
    </w:pPr>
  </w:style>
  <w:style w:type="character" w:styleId="StandardL5Char" w:customStyle="1">
    <w:name w:val="Standard_L5 Char"/>
    <w:basedOn w:val="DefaultParagraphFont"/>
    <w:link w:val="StandardL5"/>
    <w:rPr>
      <w:rFonts w:eastAsia="Times New Roman" w:cs="Times New Roman"/>
      <w:szCs w:val="20"/>
    </w:rPr>
  </w:style>
  <w:style w:type="paragraph" w:styleId="StandardL6" w:customStyle="1">
    <w:name w:val="Standard_L6"/>
    <w:basedOn w:val="StandardL5"/>
    <w:link w:val="StandardL6Char"/>
    <w:pPr>
      <w:numPr>
        <w:ilvl w:val="5"/>
      </w:numPr>
      <w:outlineLvl w:val="5"/>
    </w:pPr>
  </w:style>
  <w:style w:type="character" w:styleId="StandardL6Char" w:customStyle="1">
    <w:name w:val="Standard_L6 Char"/>
    <w:basedOn w:val="DefaultParagraphFont"/>
    <w:link w:val="StandardL6"/>
    <w:rPr>
      <w:rFonts w:eastAsia="Times New Roman" w:cs="Times New Roman"/>
      <w:szCs w:val="20"/>
    </w:rPr>
  </w:style>
  <w:style w:type="paragraph" w:styleId="StandardL7" w:customStyle="1">
    <w:name w:val="Standard_L7"/>
    <w:basedOn w:val="StandardL6"/>
    <w:link w:val="StandardL7Char"/>
    <w:pPr>
      <w:numPr>
        <w:ilvl w:val="6"/>
      </w:numPr>
      <w:outlineLvl w:val="6"/>
    </w:pPr>
  </w:style>
  <w:style w:type="character" w:styleId="StandardL7Char" w:customStyle="1">
    <w:name w:val="Standard_L7 Char"/>
    <w:basedOn w:val="DefaultParagraphFont"/>
    <w:link w:val="StandardL7"/>
    <w:rPr>
      <w:rFonts w:eastAsia="Times New Roman" w:cs="Times New Roman"/>
      <w:szCs w:val="20"/>
    </w:rPr>
  </w:style>
  <w:style w:type="paragraph" w:styleId="StandardL8" w:customStyle="1">
    <w:name w:val="Standard_L8"/>
    <w:basedOn w:val="StandardL7"/>
    <w:link w:val="StandardL8Char"/>
    <w:pPr>
      <w:numPr>
        <w:ilvl w:val="7"/>
      </w:numPr>
      <w:outlineLvl w:val="7"/>
    </w:pPr>
  </w:style>
  <w:style w:type="character" w:styleId="StandardL8Char" w:customStyle="1">
    <w:name w:val="Standard_L8 Char"/>
    <w:basedOn w:val="DefaultParagraphFont"/>
    <w:link w:val="StandardL8"/>
    <w:rPr>
      <w:rFonts w:eastAsia="Times New Roman" w:cs="Times New Roman"/>
      <w:szCs w:val="20"/>
    </w:rPr>
  </w:style>
  <w:style w:type="paragraph" w:styleId="StandardL9" w:customStyle="1">
    <w:name w:val="Standard_L9"/>
    <w:basedOn w:val="StandardL8"/>
    <w:link w:val="StandardL9Char"/>
    <w:pPr>
      <w:numPr>
        <w:ilvl w:val="8"/>
      </w:numPr>
      <w:outlineLvl w:val="8"/>
    </w:pPr>
  </w:style>
  <w:style w:type="character" w:styleId="StandardL9Char" w:customStyle="1">
    <w:name w:val="Standard_L9 Char"/>
    <w:basedOn w:val="DefaultParagraphFont"/>
    <w:link w:val="StandardL9"/>
    <w:rPr>
      <w:rFonts w:eastAsia="Times New Roman" w:cs="Times New Roman"/>
      <w:szCs w:val="20"/>
    </w:rPr>
  </w:style>
  <w:style w:type="character" w:styleId="PageNumber">
    <w:name w:val="page number"/>
    <w:basedOn w:val="DefaultParagraphFont"/>
    <w:uiPriority w:val="99"/>
    <w:unhideWhenUsed/>
  </w:style>
  <w:style w:type="character" w:styleId="PlaceholderText">
    <w:name w:val="Placeholder Text"/>
    <w:basedOn w:val="DefaultParagraphFont"/>
    <w:uiPriority w:val="99"/>
    <w:semiHidden/>
    <w:rPr>
      <w:color w:val="808080"/>
    </w:rPr>
  </w:style>
  <w:style w:type="paragraph" w:styleId="SignaturePageFollows" w:customStyle="1">
    <w:name w:val="Signature Page Follows"/>
    <w:basedOn w:val="Normal"/>
    <w:next w:val="BodyText"/>
    <w:uiPriority w:val="1"/>
    <w:qFormat/>
    <w:pPr>
      <w:spacing w:after="240"/>
      <w:jc w:val="center"/>
    </w:pPr>
    <w:rPr>
      <w:i/>
    </w:rPr>
  </w:style>
  <w:style w:type="paragraph" w:styleId="SignaturePageTo" w:customStyle="1">
    <w:name w:val="Signature Page To"/>
    <w:basedOn w:val="Normal"/>
    <w:next w:val="BodyText"/>
    <w:uiPriority w:val="1"/>
    <w:qFormat/>
    <w:pPr>
      <w:spacing w:after="240"/>
      <w:jc w:val="center"/>
    </w:pPr>
    <w:rPr>
      <w:i/>
      <w:sz w:val="20"/>
      <w:szCs w:val="20"/>
    </w:rPr>
  </w:style>
  <w:style w:type="table" w:styleId="TableGrid">
    <w:name w:val="Table Grid"/>
    <w:basedOn w:val="TableNormal"/>
    <w:uiPriority w:val="59"/>
    <w:rsid w:val="004F1A14"/>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F1A14"/>
    <w:rPr>
      <w:color w:val="0000FF" w:themeColor="hyperlink"/>
      <w:u w:val="single"/>
    </w:rPr>
  </w:style>
  <w:style w:type="paragraph" w:styleId="Revision">
    <w:name w:val="Revision"/>
    <w:hidden/>
    <w:uiPriority w:val="99"/>
    <w:semiHidden/>
    <w:rsid w:val="004076F7"/>
    <w:pPr>
      <w:spacing w:after="0"/>
    </w:pPr>
    <w:rPr>
      <w:rFonts w:cs="Times New Roman"/>
      <w:sz w:val="22"/>
    </w:rPr>
  </w:style>
  <w:style w:type="character" w:styleId="CommentReference">
    <w:name w:val="annotation reference"/>
    <w:basedOn w:val="DefaultParagraphFont"/>
    <w:uiPriority w:val="99"/>
    <w:semiHidden/>
    <w:unhideWhenUsed/>
    <w:rsid w:val="004076F7"/>
    <w:rPr>
      <w:sz w:val="16"/>
      <w:szCs w:val="16"/>
    </w:rPr>
  </w:style>
  <w:style w:type="paragraph" w:styleId="CommentText">
    <w:name w:val="annotation text"/>
    <w:basedOn w:val="Normal"/>
    <w:link w:val="CommentTextChar"/>
    <w:uiPriority w:val="99"/>
    <w:unhideWhenUsed/>
    <w:rsid w:val="004076F7"/>
    <w:rPr>
      <w:sz w:val="20"/>
      <w:szCs w:val="20"/>
    </w:rPr>
  </w:style>
  <w:style w:type="character" w:styleId="CommentTextChar" w:customStyle="1">
    <w:name w:val="Comment Text Char"/>
    <w:basedOn w:val="DefaultParagraphFont"/>
    <w:link w:val="CommentText"/>
    <w:uiPriority w:val="99"/>
    <w:rsid w:val="004076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4076F7"/>
    <w:rPr>
      <w:b/>
      <w:bCs/>
    </w:rPr>
  </w:style>
  <w:style w:type="character" w:styleId="CommentSubjectChar" w:customStyle="1">
    <w:name w:val="Comment Subject Char"/>
    <w:basedOn w:val="CommentTextChar"/>
    <w:link w:val="CommentSubject"/>
    <w:uiPriority w:val="99"/>
    <w:semiHidden/>
    <w:rsid w:val="004076F7"/>
    <w:rPr>
      <w:rFonts w:cs="Times New Roman"/>
      <w:b/>
      <w:bCs/>
      <w:sz w:val="20"/>
      <w:szCs w:val="20"/>
    </w:rPr>
  </w:style>
  <w:style w:type="paragraph" w:styleId="EndnoteText">
    <w:name w:val="endnote text"/>
    <w:basedOn w:val="Normal"/>
    <w:link w:val="EndnoteTextChar"/>
    <w:uiPriority w:val="99"/>
    <w:semiHidden/>
    <w:unhideWhenUsed/>
    <w:rsid w:val="00B1247E"/>
    <w:rPr>
      <w:sz w:val="20"/>
      <w:szCs w:val="20"/>
    </w:rPr>
  </w:style>
  <w:style w:type="character" w:styleId="EndnoteTextChar" w:customStyle="1">
    <w:name w:val="Endnote Text Char"/>
    <w:basedOn w:val="DefaultParagraphFont"/>
    <w:link w:val="EndnoteText"/>
    <w:uiPriority w:val="99"/>
    <w:semiHidden/>
    <w:rsid w:val="00B1247E"/>
    <w:rPr>
      <w:rFonts w:cs="Times New Roman"/>
      <w:sz w:val="20"/>
      <w:szCs w:val="20"/>
    </w:rPr>
  </w:style>
  <w:style w:type="character" w:styleId="EndnoteReference">
    <w:name w:val="endnote reference"/>
    <w:basedOn w:val="DefaultParagraphFont"/>
    <w:uiPriority w:val="99"/>
    <w:semiHidden/>
    <w:unhideWhenUsed/>
    <w:rsid w:val="00B12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781E-CEC8-495F-BDE3-75E9D84A13F3}">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Company> </ap:Company>
</ap: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